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B3F0" w14:textId="77777777" w:rsidR="0079092B" w:rsidRPr="00FD67F9" w:rsidRDefault="0079092B" w:rsidP="0079092B">
      <w:pPr>
        <w:spacing w:before="100" w:beforeAutospacing="1" w:after="100" w:afterAutospacing="1"/>
        <w:jc w:val="center"/>
        <w:rPr>
          <w:b/>
          <w:color w:val="000000"/>
          <w:sz w:val="27"/>
          <w:szCs w:val="27"/>
        </w:rPr>
      </w:pPr>
      <w:r w:rsidRPr="00FD67F9">
        <w:rPr>
          <w:b/>
          <w:color w:val="000000"/>
          <w:sz w:val="27"/>
          <w:szCs w:val="27"/>
        </w:rPr>
        <w:t>Обязательная информация</w:t>
      </w:r>
    </w:p>
    <w:p w14:paraId="3235A899" w14:textId="77777777" w:rsidR="0079092B" w:rsidRPr="00FD67F9" w:rsidRDefault="0079092B" w:rsidP="0079092B">
      <w:pPr>
        <w:spacing w:before="100" w:beforeAutospacing="1" w:after="100" w:afterAutospacing="1"/>
        <w:ind w:firstLine="720"/>
        <w:jc w:val="both"/>
        <w:rPr>
          <w:color w:val="000000"/>
          <w:sz w:val="24"/>
          <w:szCs w:val="24"/>
        </w:rPr>
      </w:pPr>
      <w:r w:rsidRPr="00FD67F9">
        <w:rPr>
          <w:color w:val="000000"/>
          <w:sz w:val="24"/>
          <w:szCs w:val="24"/>
        </w:rPr>
        <w:t xml:space="preserve">ТКБ </w:t>
      </w:r>
      <w:proofErr w:type="spellStart"/>
      <w:r w:rsidRPr="00FD67F9">
        <w:rPr>
          <w:color w:val="000000"/>
          <w:sz w:val="24"/>
          <w:szCs w:val="24"/>
        </w:rPr>
        <w:t>Инвестмент</w:t>
      </w:r>
      <w:proofErr w:type="spellEnd"/>
      <w:r w:rsidRPr="00FD67F9">
        <w:rPr>
          <w:color w:val="000000"/>
          <w:sz w:val="24"/>
          <w:szCs w:val="24"/>
        </w:rPr>
        <w:t xml:space="preserve"> </w:t>
      </w:r>
      <w:proofErr w:type="spellStart"/>
      <w:r w:rsidRPr="00FD67F9">
        <w:rPr>
          <w:color w:val="000000"/>
          <w:sz w:val="24"/>
          <w:szCs w:val="24"/>
        </w:rPr>
        <w:t>Партнерс</w:t>
      </w:r>
      <w:proofErr w:type="spellEnd"/>
      <w:r w:rsidRPr="00FD67F9">
        <w:rPr>
          <w:color w:val="00000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F91C814" w14:textId="77777777" w:rsidR="0079092B" w:rsidRPr="00FD67F9" w:rsidRDefault="0079092B" w:rsidP="0079092B">
      <w:pPr>
        <w:spacing w:before="100" w:beforeAutospacing="1" w:after="100" w:afterAutospacing="1"/>
        <w:ind w:firstLine="720"/>
        <w:jc w:val="both"/>
        <w:rPr>
          <w:color w:val="000000"/>
          <w:sz w:val="24"/>
          <w:szCs w:val="24"/>
        </w:rPr>
      </w:pPr>
      <w:r w:rsidRPr="00FD67F9">
        <w:rPr>
          <w:color w:val="000000"/>
          <w:sz w:val="24"/>
          <w:szCs w:val="24"/>
        </w:rPr>
        <w:t xml:space="preserve">ОПИФ рыночных финансовых инструментов «ТКБ </w:t>
      </w:r>
      <w:proofErr w:type="spellStart"/>
      <w:r w:rsidRPr="00FD67F9">
        <w:rPr>
          <w:color w:val="000000"/>
          <w:sz w:val="24"/>
          <w:szCs w:val="24"/>
        </w:rPr>
        <w:t>Инвестмент</w:t>
      </w:r>
      <w:proofErr w:type="spellEnd"/>
      <w:r w:rsidRPr="00FD67F9">
        <w:rPr>
          <w:color w:val="000000"/>
          <w:sz w:val="24"/>
          <w:szCs w:val="24"/>
        </w:rPr>
        <w:t xml:space="preserve"> </w:t>
      </w:r>
      <w:proofErr w:type="spellStart"/>
      <w:r w:rsidRPr="00FD67F9">
        <w:rPr>
          <w:color w:val="000000"/>
          <w:sz w:val="24"/>
          <w:szCs w:val="24"/>
        </w:rPr>
        <w:t>Партнерс</w:t>
      </w:r>
      <w:proofErr w:type="spellEnd"/>
      <w:r w:rsidRPr="00FD67F9">
        <w:rPr>
          <w:color w:val="000000"/>
          <w:sz w:val="24"/>
          <w:szCs w:val="24"/>
        </w:rPr>
        <w:t xml:space="preserve"> – Фонд акций глобальный» (Правила доверительного управления фондом зарегистрированы ФСФР России 21.03.2003 за № 0096-58227323).</w:t>
      </w:r>
    </w:p>
    <w:p w14:paraId="26B58095" w14:textId="77777777" w:rsidR="0079092B" w:rsidRPr="00FD67F9" w:rsidRDefault="0079092B" w:rsidP="0079092B">
      <w:pPr>
        <w:spacing w:before="100" w:beforeAutospacing="1" w:after="100" w:afterAutospacing="1"/>
        <w:ind w:firstLine="720"/>
        <w:jc w:val="both"/>
        <w:rPr>
          <w:color w:val="000000"/>
          <w:sz w:val="24"/>
          <w:szCs w:val="24"/>
        </w:rPr>
      </w:pPr>
      <w:r w:rsidRPr="00FD67F9">
        <w:rPr>
          <w:color w:val="00000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FD67F9">
        <w:rPr>
          <w:color w:val="000000"/>
          <w:sz w:val="24"/>
          <w:szCs w:val="24"/>
        </w:rPr>
        <w:t>sales</w:t>
      </w:r>
      <w:proofErr w:type="spellEnd"/>
      <w:r w:rsidRPr="00FD67F9">
        <w:rPr>
          <w:color w:val="00000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C129B63" w14:textId="77777777" w:rsidR="0079092B" w:rsidRPr="00FD67F9" w:rsidRDefault="0079092B" w:rsidP="0079092B">
      <w:pPr>
        <w:spacing w:before="100" w:beforeAutospacing="1" w:after="100" w:afterAutospacing="1"/>
        <w:ind w:firstLine="720"/>
        <w:jc w:val="both"/>
        <w:rPr>
          <w:color w:val="000000"/>
          <w:sz w:val="27"/>
          <w:szCs w:val="27"/>
        </w:rPr>
      </w:pPr>
      <w:r w:rsidRPr="00FD67F9">
        <w:rPr>
          <w:color w:val="000000"/>
          <w:sz w:val="27"/>
          <w:szCs w:val="27"/>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AA566C0" w14:textId="787A9780" w:rsidR="0079092B" w:rsidRDefault="0079092B">
      <w:pPr>
        <w:spacing w:after="200" w:line="276" w:lineRule="auto"/>
        <w:rPr>
          <w:b/>
          <w:bCs/>
          <w:sz w:val="24"/>
          <w:szCs w:val="24"/>
        </w:rPr>
      </w:pPr>
      <w:r>
        <w:rPr>
          <w:b/>
          <w:bCs/>
          <w:sz w:val="24"/>
          <w:szCs w:val="24"/>
        </w:rPr>
        <w:br w:type="page"/>
      </w:r>
    </w:p>
    <w:p w14:paraId="1212F3D4" w14:textId="77777777" w:rsidR="0079092B" w:rsidRDefault="0079092B">
      <w:pPr>
        <w:spacing w:after="200" w:line="276" w:lineRule="auto"/>
        <w:rPr>
          <w:b/>
          <w:bCs/>
          <w:sz w:val="24"/>
          <w:szCs w:val="24"/>
        </w:rPr>
      </w:pPr>
      <w:bookmarkStart w:id="0" w:name="_GoBack"/>
      <w:bookmarkEnd w:id="0"/>
    </w:p>
    <w:p w14:paraId="5643615E" w14:textId="77777777" w:rsidR="0079092B" w:rsidRDefault="0079092B">
      <w:pPr>
        <w:spacing w:after="200" w:line="276" w:lineRule="auto"/>
        <w:rPr>
          <w:b/>
          <w:bCs/>
          <w:spacing w:val="-7"/>
          <w:sz w:val="24"/>
          <w:szCs w:val="24"/>
        </w:rPr>
      </w:pPr>
    </w:p>
    <w:p w14:paraId="34B828A6" w14:textId="68C0E1DA"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proofErr w:type="spellStart"/>
      <w:r w:rsidR="00712E93">
        <w:rPr>
          <w:b/>
          <w:color w:val="auto"/>
          <w:sz w:val="24"/>
          <w:szCs w:val="24"/>
        </w:rPr>
        <w:t>Инвестмент</w:t>
      </w:r>
      <w:proofErr w:type="spellEnd"/>
      <w:r w:rsidR="00712E93">
        <w:rPr>
          <w:b/>
          <w:color w:val="auto"/>
          <w:sz w:val="24"/>
          <w:szCs w:val="24"/>
        </w:rPr>
        <w:t xml:space="preserve"> </w:t>
      </w:r>
      <w:proofErr w:type="spellStart"/>
      <w:r w:rsidR="00712E93">
        <w:rPr>
          <w:b/>
          <w:color w:val="auto"/>
          <w:sz w:val="24"/>
          <w:szCs w:val="24"/>
        </w:rPr>
        <w:t>Партнерс</w:t>
      </w:r>
      <w:proofErr w:type="spellEnd"/>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proofErr w:type="spellStart"/>
      <w:r w:rsidR="00712E93">
        <w:rPr>
          <w:spacing w:val="-1"/>
          <w:sz w:val="22"/>
          <w:szCs w:val="22"/>
        </w:rPr>
        <w:t>Инвестмент</w:t>
      </w:r>
      <w:proofErr w:type="spellEnd"/>
      <w:r w:rsidR="00712E93">
        <w:rPr>
          <w:spacing w:val="-1"/>
          <w:sz w:val="22"/>
          <w:szCs w:val="22"/>
        </w:rPr>
        <w:t xml:space="preserve"> </w:t>
      </w:r>
      <w:proofErr w:type="spellStart"/>
      <w:r w:rsidR="00712E93">
        <w:rPr>
          <w:spacing w:val="-1"/>
          <w:sz w:val="22"/>
          <w:szCs w:val="22"/>
        </w:rPr>
        <w:t>Партнерс</w:t>
      </w:r>
      <w:proofErr w:type="spellEnd"/>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proofErr w:type="spellStart"/>
      <w:r w:rsidR="00712E93">
        <w:rPr>
          <w:sz w:val="22"/>
          <w:szCs w:val="22"/>
        </w:rPr>
        <w:t>Инвестмент</w:t>
      </w:r>
      <w:proofErr w:type="spellEnd"/>
      <w:r w:rsidR="00712E93">
        <w:rPr>
          <w:sz w:val="22"/>
          <w:szCs w:val="22"/>
        </w:rPr>
        <w:t xml:space="preserve"> </w:t>
      </w:r>
      <w:proofErr w:type="spellStart"/>
      <w:r w:rsidR="00712E93">
        <w:rPr>
          <w:sz w:val="22"/>
          <w:szCs w:val="22"/>
        </w:rPr>
        <w:t>Партнерс</w:t>
      </w:r>
      <w:proofErr w:type="spellEnd"/>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proofErr w:type="spellStart"/>
      <w:r w:rsidR="001A7E84" w:rsidRPr="00985D2F">
        <w:rPr>
          <w:bCs/>
          <w:sz w:val="22"/>
          <w:szCs w:val="22"/>
        </w:rPr>
        <w:t>Инвестмент</w:t>
      </w:r>
      <w:proofErr w:type="spellEnd"/>
      <w:r w:rsidR="001A7E84" w:rsidRPr="00985D2F">
        <w:rPr>
          <w:bCs/>
          <w:sz w:val="22"/>
          <w:szCs w:val="22"/>
        </w:rPr>
        <w:t xml:space="preserve"> </w:t>
      </w:r>
      <w:proofErr w:type="spellStart"/>
      <w:r w:rsidR="001A7E84" w:rsidRPr="00985D2F">
        <w:rPr>
          <w:bCs/>
          <w:sz w:val="22"/>
          <w:szCs w:val="22"/>
        </w:rPr>
        <w:t>Партнерс</w:t>
      </w:r>
      <w:proofErr w:type="spellEnd"/>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w:t>
      </w:r>
      <w:proofErr w:type="gramStart"/>
      <w:r w:rsidRPr="00D349A9">
        <w:rPr>
          <w:sz w:val="22"/>
          <w:szCs w:val="22"/>
          <w:lang w:eastAsia="ru-RU"/>
        </w:rPr>
        <w:t>российских  акционерных</w:t>
      </w:r>
      <w:proofErr w:type="gramEnd"/>
      <w:r w:rsidRPr="00D349A9">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 xml:space="preserve">OMX Stockholm </w:t>
      </w:r>
      <w:proofErr w:type="gramStart"/>
      <w:r w:rsidRPr="004156E3">
        <w:rPr>
          <w:sz w:val="22"/>
          <w:szCs w:val="22"/>
          <w:lang w:val="en-US"/>
        </w:rPr>
        <w:t>30</w:t>
      </w:r>
      <w:r w:rsidRPr="004156E3">
        <w:rPr>
          <w:lang w:val="en-US"/>
        </w:rPr>
        <w:t xml:space="preserve"> </w:t>
      </w:r>
      <w:r w:rsidRPr="004156E3">
        <w:rPr>
          <w:sz w:val="22"/>
          <w:szCs w:val="22"/>
          <w:lang w:val="en-US" w:eastAsia="ru-RU"/>
        </w:rPr>
        <w:t xml:space="preserve"> (</w:t>
      </w:r>
      <w:proofErr w:type="gramEnd"/>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79092B" w:rsidRDefault="00B1269D" w:rsidP="00B1269D">
      <w:pPr>
        <w:ind w:firstLine="567"/>
        <w:jc w:val="both"/>
        <w:rPr>
          <w:sz w:val="22"/>
          <w:szCs w:val="22"/>
          <w:lang w:eastAsia="ru-RU"/>
        </w:rPr>
      </w:pPr>
      <w:r w:rsidRPr="0079092B">
        <w:rPr>
          <w:sz w:val="22"/>
          <w:szCs w:val="22"/>
          <w:lang w:eastAsia="ru-RU"/>
        </w:rPr>
        <w:t xml:space="preserve">- </w:t>
      </w:r>
      <w:r w:rsidRPr="009265F8">
        <w:rPr>
          <w:sz w:val="22"/>
          <w:szCs w:val="22"/>
          <w:lang w:val="en-US" w:eastAsia="ru-RU"/>
        </w:rPr>
        <w:t>Nikkei</w:t>
      </w:r>
      <w:r w:rsidRPr="0079092B">
        <w:rPr>
          <w:sz w:val="22"/>
          <w:szCs w:val="22"/>
          <w:lang w:eastAsia="ru-RU"/>
        </w:rPr>
        <w:t xml:space="preserve"> 225 (</w:t>
      </w:r>
      <w:r w:rsidRPr="009265F8">
        <w:rPr>
          <w:sz w:val="22"/>
          <w:szCs w:val="22"/>
          <w:lang w:eastAsia="ru-RU"/>
        </w:rPr>
        <w:t>Япония</w:t>
      </w:r>
      <w:r w:rsidRPr="0079092B">
        <w:rPr>
          <w:sz w:val="22"/>
          <w:szCs w:val="22"/>
          <w:lang w:eastAsia="ru-RU"/>
        </w:rPr>
        <w:t>)</w:t>
      </w:r>
      <w:r w:rsidR="00EF3673" w:rsidRPr="0079092B">
        <w:rPr>
          <w:sz w:val="22"/>
          <w:szCs w:val="22"/>
          <w:lang w:eastAsia="ru-RU"/>
        </w:rPr>
        <w:t>,</w:t>
      </w:r>
    </w:p>
    <w:p w14:paraId="6AC3FE81" w14:textId="77777777" w:rsidR="00C30B84" w:rsidRPr="004156E3" w:rsidRDefault="00EF3673" w:rsidP="00B1269D">
      <w:pPr>
        <w:ind w:firstLine="567"/>
        <w:jc w:val="both"/>
        <w:rPr>
          <w:sz w:val="22"/>
          <w:szCs w:val="22"/>
          <w:lang w:eastAsia="ru-RU"/>
        </w:rPr>
      </w:pPr>
      <w:r w:rsidRPr="0079092B">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xml:space="preserve">, выпущенные </w:t>
      </w:r>
      <w:proofErr w:type="spellStart"/>
      <w:r w:rsidRPr="008B6688">
        <w:rPr>
          <w:sz w:val="22"/>
          <w:szCs w:val="22"/>
          <w:lang w:eastAsia="ru-RU"/>
        </w:rPr>
        <w:t>микрофинансовыми</w:t>
      </w:r>
      <w:proofErr w:type="spellEnd"/>
      <w:r w:rsidRPr="008B6688">
        <w:rPr>
          <w:sz w:val="22"/>
          <w:szCs w:val="22"/>
          <w:lang w:eastAsia="ru-RU"/>
        </w:rPr>
        <w:t xml:space="preserve">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2886A958" w:rsidR="00FC40DF" w:rsidRPr="00D349A9" w:rsidRDefault="005674C6" w:rsidP="00B1269D">
      <w:pPr>
        <w:ind w:firstLine="567"/>
        <w:jc w:val="both"/>
        <w:rPr>
          <w:sz w:val="22"/>
          <w:szCs w:val="22"/>
          <w:lang w:eastAsia="ru-RU"/>
        </w:rPr>
      </w:pPr>
      <w:r>
        <w:rPr>
          <w:sz w:val="22"/>
          <w:szCs w:val="22"/>
          <w:lang w:eastAsia="ru-RU"/>
        </w:rPr>
        <w:t xml:space="preserve">23.1.4. оценочная стоимость </w:t>
      </w:r>
      <w:r w:rsidR="00B1269D" w:rsidRPr="009265F8">
        <w:rPr>
          <w:sz w:val="22"/>
          <w:szCs w:val="22"/>
          <w:lang w:eastAsia="ru-RU"/>
        </w:rPr>
        <w:t xml:space="preserve">паев (акций) иностранных инвестиционных фондов может </w:t>
      </w:r>
      <w:r w:rsidR="00B1269D" w:rsidRPr="00D349A9">
        <w:rPr>
          <w:sz w:val="22"/>
          <w:szCs w:val="22"/>
          <w:lang w:eastAsia="ru-RU"/>
        </w:rPr>
        <w:t xml:space="preserve">составлять не более </w:t>
      </w:r>
      <w:r w:rsidR="00E744AD">
        <w:rPr>
          <w:sz w:val="22"/>
          <w:szCs w:val="22"/>
          <w:lang w:eastAsia="ru-RU"/>
        </w:rPr>
        <w:t>75</w:t>
      </w:r>
      <w:r w:rsidR="00B1269D" w:rsidRPr="00D349A9">
        <w:rPr>
          <w:sz w:val="22"/>
          <w:szCs w:val="22"/>
          <w:lang w:eastAsia="ru-RU"/>
        </w:rPr>
        <w:t xml:space="preserve"> (</w:t>
      </w:r>
      <w:r w:rsidR="00E744AD">
        <w:rPr>
          <w:sz w:val="22"/>
          <w:szCs w:val="22"/>
          <w:lang w:eastAsia="ru-RU"/>
        </w:rPr>
        <w:t>Семидесяти пяти</w:t>
      </w:r>
      <w:r w:rsidR="00B1269D" w:rsidRPr="00D349A9">
        <w:rPr>
          <w:sz w:val="22"/>
          <w:szCs w:val="22"/>
          <w:lang w:eastAsia="ru-RU"/>
        </w:rPr>
        <w:t>) процентов стоимости активов</w:t>
      </w:r>
      <w:r w:rsidR="00FC40DF" w:rsidRPr="00D349A9">
        <w:rPr>
          <w:sz w:val="22"/>
          <w:szCs w:val="22"/>
          <w:lang w:eastAsia="ru-RU"/>
        </w:rPr>
        <w:t>;</w:t>
      </w:r>
    </w:p>
    <w:p w14:paraId="2B18B0AF" w14:textId="2A578320"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C7828">
        <w:rPr>
          <w:sz w:val="22"/>
          <w:szCs w:val="22"/>
          <w:lang w:eastAsia="ru-RU"/>
        </w:rPr>
        <w:t>колл</w:t>
      </w:r>
      <w:proofErr w:type="spellEnd"/>
      <w:r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FA1749">
        <w:rPr>
          <w:sz w:val="22"/>
          <w:szCs w:val="22"/>
        </w:rPr>
        <w:t>денежных средств</w:t>
      </w:r>
      <w:proofErr w:type="gramEnd"/>
      <w:r w:rsidR="00594BB9" w:rsidRPr="00FA1749">
        <w:rPr>
          <w:sz w:val="22"/>
          <w:szCs w:val="22"/>
        </w:rPr>
        <w:t xml:space="preserve">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записи по лицевому </w:t>
      </w:r>
      <w:proofErr w:type="gramStart"/>
      <w:r w:rsidR="00377812" w:rsidRPr="00FA1749">
        <w:rPr>
          <w:sz w:val="22"/>
          <w:szCs w:val="22"/>
        </w:rPr>
        <w:t>счету</w:t>
      </w:r>
      <w:r w:rsidR="004B484F" w:rsidRPr="00FA1749">
        <w:rPr>
          <w:sz w:val="22"/>
          <w:szCs w:val="22"/>
        </w:rPr>
        <w:t xml:space="preserve"> </w:t>
      </w:r>
      <w:r w:rsidR="00377812" w:rsidRPr="00FA1749">
        <w:rPr>
          <w:sz w:val="22"/>
          <w:szCs w:val="22"/>
        </w:rPr>
        <w:t xml:space="preserve"> приобретателя</w:t>
      </w:r>
      <w:proofErr w:type="gramEnd"/>
      <w:r w:rsidR="00377812" w:rsidRPr="00FA1749">
        <w:rPr>
          <w:sz w:val="22"/>
          <w:szCs w:val="22"/>
        </w:rPr>
        <w:t xml:space="preserve">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42CCC365" w14:textId="77777777" w:rsidR="005674C6" w:rsidRDefault="00151210" w:rsidP="005674C6">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3F69396C" w:rsidR="00A73E20" w:rsidRPr="00FA1749" w:rsidRDefault="00151210" w:rsidP="005674C6">
      <w:pPr>
        <w:spacing w:before="60" w:after="60"/>
        <w:ind w:firstLine="360"/>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77777777" w:rsidR="00845F39" w:rsidRPr="00845F39" w:rsidRDefault="0009246B" w:rsidP="00845F39">
      <w:pPr>
        <w:adjustRightInd w:val="0"/>
        <w:ind w:firstLine="709"/>
        <w:jc w:val="both"/>
        <w:rPr>
          <w:sz w:val="22"/>
          <w:szCs w:val="22"/>
          <w:lang w:eastAsia="ru-RU"/>
        </w:rPr>
      </w:pPr>
      <w:r w:rsidRPr="0009246B">
        <w:rPr>
          <w:sz w:val="22"/>
          <w:szCs w:val="22"/>
          <w:lang w:eastAsia="ru-RU"/>
        </w:rPr>
        <w:t xml:space="preserve">47.4.1.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3"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77777777" w:rsidR="00845F39" w:rsidRPr="00845F39" w:rsidRDefault="0009246B" w:rsidP="00845F39">
      <w:pPr>
        <w:adjustRightInd w:val="0"/>
        <w:ind w:firstLine="709"/>
        <w:jc w:val="both"/>
        <w:rPr>
          <w:b/>
          <w:sz w:val="22"/>
          <w:szCs w:val="22"/>
          <w:lang w:eastAsia="ru-RU"/>
        </w:rPr>
      </w:pPr>
      <w:r w:rsidRPr="0009246B">
        <w:rPr>
          <w:sz w:val="22"/>
          <w:szCs w:val="22"/>
          <w:lang w:eastAsia="ru-RU"/>
        </w:rPr>
        <w:t xml:space="preserve">47.4.2.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4" w:history="1">
        <w:r w:rsidRPr="0009246B">
          <w:rPr>
            <w:color w:val="0000FF"/>
            <w:sz w:val="22"/>
            <w:szCs w:val="22"/>
            <w:u w:val="single"/>
            <w:lang w:eastAsia="ru-RU"/>
          </w:rPr>
          <w:t>https://www.tkbip.ru</w:t>
        </w:r>
      </w:hyperlink>
      <w:r w:rsidRPr="0009246B">
        <w:rPr>
          <w:sz w:val="22"/>
          <w:szCs w:val="22"/>
          <w:lang w:eastAsia="ru-RU"/>
        </w:rPr>
        <w:t>.</w:t>
      </w:r>
    </w:p>
    <w:p w14:paraId="3CF8C51A" w14:textId="633A576B"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6D69445F"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w:t>
      </w:r>
      <w:r w:rsidR="0039209F" w:rsidRPr="005B1559">
        <w:rPr>
          <w:sz w:val="22"/>
          <w:szCs w:val="22"/>
        </w:rPr>
        <w:t>или лицом, действующим в качестве доверительного управляющего;</w:t>
      </w:r>
    </w:p>
    <w:p w14:paraId="6475BB9E" w14:textId="6498768A"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5258285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537C60">
        <w:rPr>
          <w:sz w:val="22"/>
          <w:szCs w:val="22"/>
        </w:rPr>
        <w:t xml:space="preserve"> </w:t>
      </w:r>
      <w:r w:rsidR="00487248" w:rsidRPr="007447A6">
        <w:rPr>
          <w:sz w:val="22"/>
          <w:szCs w:val="22"/>
        </w:rPr>
        <w:t>или лицом, действующим в качестве доверительного управляющего;</w:t>
      </w:r>
    </w:p>
    <w:p w14:paraId="49829719" w14:textId="3306BB42"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157A6274"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DB00A2">
        <w:rPr>
          <w:sz w:val="22"/>
          <w:szCs w:val="22"/>
        </w:rPr>
        <w:t>у</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E45773">
        <w:rPr>
          <w:sz w:val="22"/>
          <w:szCs w:val="22"/>
        </w:rPr>
        <w:t>,</w:t>
      </w:r>
      <w:r w:rsidR="00577AEE">
        <w:rPr>
          <w:sz w:val="22"/>
          <w:szCs w:val="22"/>
        </w:rPr>
        <w:t xml:space="preserve"> </w:t>
      </w:r>
      <w:r w:rsidR="008C33E6" w:rsidRPr="008C33E6">
        <w:rPr>
          <w:color w:val="000000"/>
          <w:sz w:val="22"/>
          <w:szCs w:val="22"/>
          <w:shd w:val="clear" w:color="auto" w:fill="FFFFFF"/>
        </w:rPr>
        <w:t>АО «БАНК СГБ»,</w:t>
      </w:r>
      <w:r w:rsidR="008C33E6">
        <w:rPr>
          <w:b/>
          <w:color w:val="000000"/>
          <w:sz w:val="22"/>
          <w:szCs w:val="22"/>
          <w:shd w:val="clear" w:color="auto" w:fill="FFFFFF"/>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740A1648" w14:textId="77777777" w:rsidR="008C33E6" w:rsidRPr="00A35D42" w:rsidRDefault="008C33E6" w:rsidP="008C33E6">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C33E6">
        <w:rPr>
          <w:color w:val="000000"/>
          <w:sz w:val="22"/>
          <w:szCs w:val="22"/>
          <w:shd w:val="clear" w:color="auto" w:fill="FFFFFF"/>
        </w:rPr>
        <w:t>АО «БАНК СГБ»</w:t>
      </w:r>
      <w:r w:rsidRPr="008C33E6">
        <w:rPr>
          <w:sz w:val="22"/>
          <w:szCs w:val="22"/>
        </w:rPr>
        <w:t xml:space="preserve">, </w:t>
      </w:r>
      <w:r w:rsidRPr="008C33E6">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4205B939"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09F9D4A"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6621B11"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8C33E6">
        <w:rPr>
          <w:sz w:val="22"/>
          <w:szCs w:val="22"/>
        </w:rPr>
        <w:t>00 000 (Одного миллиона) рублей.</w:t>
      </w:r>
    </w:p>
    <w:p w14:paraId="793A1EE1" w14:textId="50F1E764" w:rsidR="00C5500C" w:rsidRPr="00C5500C" w:rsidRDefault="00C5500C" w:rsidP="00C5500C">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819D6">
        <w:rPr>
          <w:color w:val="000000"/>
          <w:sz w:val="22"/>
          <w:szCs w:val="22"/>
          <w:shd w:val="clear" w:color="auto" w:fill="F5F5F5"/>
        </w:rPr>
        <w:t>ООО «АЛОР +»</w:t>
      </w:r>
      <w:r w:rsidRPr="001819D6">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3FA4D87D"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521E96">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7"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42FD9880"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57704">
        <w:rPr>
          <w:sz w:val="22"/>
          <w:szCs w:val="22"/>
        </w:rPr>
        <w:t>Финанс</w:t>
      </w:r>
      <w:proofErr w:type="spellEnd"/>
      <w:r w:rsidRPr="00E57704">
        <w:rPr>
          <w:sz w:val="22"/>
          <w:szCs w:val="22"/>
        </w:rPr>
        <w:t xml:space="preserve">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482DC581"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w:t>
      </w:r>
      <w:r w:rsidR="00521E96">
        <w:rPr>
          <w:sz w:val="22"/>
          <w:szCs w:val="22"/>
        </w:rPr>
        <w:t xml:space="preserve"> </w:t>
      </w:r>
      <w:r w:rsidR="007D4380" w:rsidRPr="00EC15D7">
        <w:rPr>
          <w:sz w:val="22"/>
          <w:szCs w:val="22"/>
          <w:lang w:eastAsia="ru-RU"/>
        </w:rPr>
        <w:t xml:space="preserve">управляющей компании номинальным держателем – КИТ </w:t>
      </w:r>
      <w:proofErr w:type="spellStart"/>
      <w:r w:rsidR="007D4380" w:rsidRPr="00EC15D7">
        <w:rPr>
          <w:sz w:val="22"/>
          <w:szCs w:val="22"/>
          <w:lang w:eastAsia="ru-RU"/>
        </w:rPr>
        <w:t>Финанс</w:t>
      </w:r>
      <w:proofErr w:type="spellEnd"/>
      <w:r w:rsidR="007D4380" w:rsidRPr="00EC15D7">
        <w:rPr>
          <w:sz w:val="22"/>
          <w:szCs w:val="22"/>
          <w:lang w:eastAsia="ru-RU"/>
        </w:rPr>
        <w:t xml:space="preserve">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 xml:space="preserve">за исключением заявок, поданных управляющей компании номинальным держателем – КИТ </w:t>
      </w:r>
      <w:proofErr w:type="spellStart"/>
      <w:r w:rsidR="00E57704" w:rsidRPr="00E57704">
        <w:t>Финанс</w:t>
      </w:r>
      <w:proofErr w:type="spellEnd"/>
      <w:r w:rsidR="00E57704" w:rsidRPr="00E57704">
        <w:t xml:space="preserve">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 xml:space="preserve">рыночных финансовых инструментов «ТКБ </w:t>
      </w:r>
      <w:proofErr w:type="spellStart"/>
      <w:r w:rsidRPr="005F0D79">
        <w:rPr>
          <w:bCs/>
        </w:rPr>
        <w:t>Инвестмент</w:t>
      </w:r>
      <w:proofErr w:type="spellEnd"/>
      <w:r w:rsidRPr="005F0D79">
        <w:rPr>
          <w:bCs/>
        </w:rPr>
        <w:t xml:space="preserve"> </w:t>
      </w:r>
      <w:proofErr w:type="spellStart"/>
      <w:r w:rsidRPr="005F0D79">
        <w:rPr>
          <w:bCs/>
        </w:rPr>
        <w:t>Партнерс</w:t>
      </w:r>
      <w:proofErr w:type="spellEnd"/>
      <w:r w:rsidRPr="005F0D79">
        <w:rPr>
          <w:bCs/>
        </w:rPr>
        <w:t xml:space="preserve">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w:t>
      </w:r>
      <w:proofErr w:type="spellStart"/>
      <w:r w:rsidR="00AE62DA">
        <w:t>Инвестмент</w:t>
      </w:r>
      <w:proofErr w:type="spellEnd"/>
      <w:r w:rsidR="00AE62DA">
        <w:t xml:space="preserve"> </w:t>
      </w:r>
      <w:proofErr w:type="spellStart"/>
      <w:r w:rsidR="00AE62DA">
        <w:t>Партнерс</w:t>
      </w:r>
      <w:proofErr w:type="spellEnd"/>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1"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7777777" w:rsidR="004B484F" w:rsidRPr="00FA1749" w:rsidRDefault="00453DF8">
      <w:pPr>
        <w:pStyle w:val="21"/>
      </w:pPr>
      <w:r>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FA1749">
        <w:rPr>
          <w:sz w:val="22"/>
          <w:szCs w:val="22"/>
        </w:rPr>
        <w:t>паевого инвестиционного фонда</w:t>
      </w:r>
      <w:proofErr w:type="gramEnd"/>
      <w:r w:rsidR="00F37F96" w:rsidRPr="00FA1749">
        <w:rPr>
          <w:sz w:val="22"/>
          <w:szCs w:val="22"/>
        </w:rPr>
        <w:t xml:space="preserve">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FA1749">
        <w:rPr>
          <w:sz w:val="22"/>
          <w:szCs w:val="22"/>
        </w:rPr>
        <w:t>на рабочий день</w:t>
      </w:r>
      <w:proofErr w:type="gramEnd"/>
      <w:r w:rsidR="00555271" w:rsidRPr="00FA1749">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3F06EE71" w:rsidR="00577AEE"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 xml:space="preserve">равляющей компании в размере </w:t>
      </w:r>
      <w:r w:rsidR="007A4E00">
        <w:rPr>
          <w:rFonts w:ascii="Times New Roman" w:hAnsi="Times New Roman" w:cs="Times New Roman"/>
          <w:kern w:val="0"/>
          <w:sz w:val="22"/>
          <w:szCs w:val="22"/>
        </w:rPr>
        <w:t xml:space="preserve">не более </w:t>
      </w:r>
      <w:r w:rsidR="00B34AFA">
        <w:rPr>
          <w:rFonts w:ascii="Times New Roman" w:hAnsi="Times New Roman" w:cs="Times New Roman"/>
          <w:kern w:val="0"/>
          <w:sz w:val="22"/>
          <w:szCs w:val="22"/>
        </w:rPr>
        <w:t>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77AEE" w:rsidRPr="000A0979">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B800C5">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w:t>
      </w:r>
    </w:p>
    <w:p w14:paraId="31EF2D56" w14:textId="77777777" w:rsidR="00B800C5" w:rsidRPr="00B800C5" w:rsidRDefault="00B800C5" w:rsidP="00B800C5">
      <w:pPr>
        <w:tabs>
          <w:tab w:val="left" w:pos="426"/>
        </w:tabs>
        <w:spacing w:before="60" w:after="60"/>
        <w:jc w:val="both"/>
        <w:rPr>
          <w:sz w:val="22"/>
          <w:szCs w:val="22"/>
        </w:rPr>
      </w:pPr>
      <w:r w:rsidRPr="00B800C5">
        <w:rPr>
          <w:sz w:val="22"/>
          <w:szCs w:val="22"/>
        </w:rPr>
        <w:t>Максимальный размер суммы указанных вознаграждений составляет не более 4,1 (Четырех целых одной десятой) процента от среднегодовой стоимости чистых активов фонда.</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45D3CAA6" w14:textId="77777777" w:rsidR="008951D2" w:rsidRPr="008951D2" w:rsidRDefault="008951D2" w:rsidP="008951D2">
      <w:pPr>
        <w:numPr>
          <w:ilvl w:val="0"/>
          <w:numId w:val="31"/>
        </w:numPr>
        <w:tabs>
          <w:tab w:val="left" w:pos="426"/>
        </w:tabs>
        <w:spacing w:before="60" w:after="60"/>
        <w:ind w:left="0" w:hanging="11"/>
        <w:jc w:val="both"/>
        <w:rPr>
          <w:sz w:val="22"/>
          <w:szCs w:val="22"/>
        </w:rPr>
      </w:pPr>
      <w:r w:rsidRPr="008951D2">
        <w:rPr>
          <w:sz w:val="22"/>
          <w:szCs w:val="22"/>
        </w:rPr>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24659BE4"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proofErr w:type="spellStart"/>
      <w:r w:rsidR="00A71FE8" w:rsidRPr="00A71FE8">
        <w:rPr>
          <w:sz w:val="22"/>
          <w:szCs w:val="22"/>
          <w:lang w:val="en-US"/>
        </w:rPr>
        <w:t>tkbip</w:t>
      </w:r>
      <w:proofErr w:type="spellEnd"/>
      <w:r w:rsidR="00A71FE8" w:rsidRPr="00A71FE8">
        <w:rPr>
          <w:sz w:val="22"/>
          <w:szCs w:val="22"/>
        </w:rPr>
        <w:t>.</w:t>
      </w:r>
      <w:proofErr w:type="spellStart"/>
      <w:r w:rsidR="00A71FE8">
        <w:rPr>
          <w:sz w:val="22"/>
          <w:szCs w:val="22"/>
          <w:lang w:val="en-US"/>
        </w:rPr>
        <w:t>ru</w:t>
      </w:r>
      <w:proofErr w:type="spellEnd"/>
      <w:r w:rsidR="008460E6" w:rsidRPr="00FA1749">
        <w:rPr>
          <w:sz w:val="22"/>
          <w:szCs w:val="22"/>
        </w:rPr>
        <w:t>.</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D238489"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23AAD227" w14:textId="77777777" w:rsidR="00393FB7" w:rsidRPr="00393FB7" w:rsidRDefault="00393FB7" w:rsidP="00393FB7"/>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7029D680" w:rsidR="001334C5" w:rsidRPr="001334C5" w:rsidRDefault="00381ABC" w:rsidP="001334C5">
      <w:pPr>
        <w:autoSpaceDE w:val="0"/>
        <w:autoSpaceDN w:val="0"/>
        <w:spacing w:line="280" w:lineRule="exact"/>
        <w:jc w:val="both"/>
        <w:rPr>
          <w:sz w:val="22"/>
          <w:szCs w:val="22"/>
          <w:lang w:eastAsia="ru-RU"/>
        </w:rPr>
      </w:pPr>
      <w:r>
        <w:rPr>
          <w:sz w:val="22"/>
          <w:szCs w:val="22"/>
          <w:lang w:eastAsia="ru-RU"/>
        </w:rPr>
        <w:t>Генеральн</w:t>
      </w:r>
      <w:r w:rsidR="00B20864">
        <w:rPr>
          <w:sz w:val="22"/>
          <w:szCs w:val="22"/>
          <w:lang w:eastAsia="ru-RU"/>
        </w:rPr>
        <w:t>ый</w:t>
      </w:r>
      <w:r w:rsidR="001334C5" w:rsidRPr="001334C5">
        <w:rPr>
          <w:sz w:val="22"/>
          <w:szCs w:val="22"/>
          <w:lang w:eastAsia="ru-RU"/>
        </w:rPr>
        <w:t xml:space="preserve"> директор</w:t>
      </w:r>
    </w:p>
    <w:p w14:paraId="679B27B0" w14:textId="2AB87B6B" w:rsidR="001334C5" w:rsidRPr="001334C5" w:rsidRDefault="001334C5" w:rsidP="001334C5">
      <w:pPr>
        <w:spacing w:before="45" w:after="45"/>
        <w:rPr>
          <w:sz w:val="22"/>
          <w:szCs w:val="22"/>
        </w:rPr>
      </w:pPr>
      <w:r w:rsidRPr="001334C5">
        <w:rPr>
          <w:sz w:val="22"/>
          <w:szCs w:val="22"/>
        </w:rPr>
        <w:t xml:space="preserve">ТКБ </w:t>
      </w:r>
      <w:proofErr w:type="spellStart"/>
      <w:r w:rsidRPr="001334C5">
        <w:rPr>
          <w:sz w:val="22"/>
          <w:szCs w:val="22"/>
        </w:rPr>
        <w:t>Инвестмент</w:t>
      </w:r>
      <w:proofErr w:type="spellEnd"/>
      <w:r w:rsidRPr="001334C5">
        <w:rPr>
          <w:sz w:val="22"/>
          <w:szCs w:val="22"/>
        </w:rPr>
        <w:t xml:space="preserve"> </w:t>
      </w:r>
      <w:proofErr w:type="spellStart"/>
      <w:r w:rsidRPr="001334C5">
        <w:rPr>
          <w:sz w:val="22"/>
          <w:szCs w:val="22"/>
        </w:rPr>
        <w:t>Партнерс</w:t>
      </w:r>
      <w:proofErr w:type="spellEnd"/>
      <w:r w:rsidRPr="001334C5">
        <w:rPr>
          <w:sz w:val="22"/>
          <w:szCs w:val="22"/>
        </w:rPr>
        <w:t xml:space="preserve">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r w:rsidR="00B20864">
        <w:rPr>
          <w:sz w:val="22"/>
          <w:szCs w:val="22"/>
        </w:rPr>
        <w:t>Д.Н. Тимофеев</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 xml:space="preserve">Прошу выдавать </w:t>
      </w:r>
      <w:proofErr w:type="gramStart"/>
      <w:r w:rsidRPr="00FA1749">
        <w:rPr>
          <w:rFonts w:ascii="Arial" w:hAnsi="Arial" w:cs="Arial"/>
          <w:b/>
          <w:sz w:val="16"/>
          <w:szCs w:val="16"/>
        </w:rPr>
        <w:t>мне  инвестиционные</w:t>
      </w:r>
      <w:proofErr w:type="gramEnd"/>
      <w:r w:rsidRPr="00FA1749">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ab/>
        <w:t xml:space="preserve">  Дата</w:t>
      </w:r>
      <w:proofErr w:type="gramEnd"/>
      <w:r w:rsidRPr="00FA1749">
        <w:rPr>
          <w:rFonts w:ascii="Arial" w:hAnsi="Arial" w:cs="Arial"/>
          <w:b/>
          <w:bCs/>
          <w:sz w:val="16"/>
          <w:szCs w:val="16"/>
        </w:rPr>
        <w:t>:___________________________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t>Приложение №</w:t>
      </w:r>
      <w:proofErr w:type="gramStart"/>
      <w:r w:rsidRPr="00FA1749">
        <w:rPr>
          <w:rFonts w:ascii="Arial" w:hAnsi="Arial" w:cs="Arial"/>
          <w:sz w:val="9"/>
          <w:szCs w:val="9"/>
        </w:rPr>
        <w:t>8  к</w:t>
      </w:r>
      <w:proofErr w:type="gramEnd"/>
      <w:r w:rsidRPr="00FA1749">
        <w:rPr>
          <w:rFonts w:ascii="Arial" w:hAnsi="Arial" w:cs="Arial"/>
          <w:sz w:val="9"/>
          <w:szCs w:val="9"/>
        </w:rPr>
        <w:t xml:space="preserve">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2"/>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1C4C" w14:textId="77777777" w:rsidR="007A4E00" w:rsidRDefault="007A4E00">
      <w:r>
        <w:separator/>
      </w:r>
    </w:p>
  </w:endnote>
  <w:endnote w:type="continuationSeparator" w:id="0">
    <w:p w14:paraId="6B954724" w14:textId="77777777" w:rsidR="007A4E00" w:rsidRDefault="007A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313D9D40" w:rsidR="007A4E00" w:rsidRDefault="007A4E00">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9092B">
      <w:rPr>
        <w:rStyle w:val="af0"/>
        <w:noProof/>
      </w:rPr>
      <w:t>22</w:t>
    </w:r>
    <w:r>
      <w:rPr>
        <w:rStyle w:val="af0"/>
      </w:rPr>
      <w:fldChar w:fldCharType="end"/>
    </w:r>
  </w:p>
  <w:p w14:paraId="135901AE" w14:textId="77777777" w:rsidR="007A4E00" w:rsidRDefault="007A4E00"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17" w14:textId="77777777" w:rsidR="007A4E00" w:rsidRDefault="007A4E00">
      <w:r>
        <w:separator/>
      </w:r>
    </w:p>
  </w:footnote>
  <w:footnote w:type="continuationSeparator" w:id="0">
    <w:p w14:paraId="46060946" w14:textId="77777777" w:rsidR="007A4E00" w:rsidRDefault="007A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246B"/>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964"/>
    <w:rsid w:val="00125528"/>
    <w:rsid w:val="00126642"/>
    <w:rsid w:val="00127AE6"/>
    <w:rsid w:val="00127C86"/>
    <w:rsid w:val="0013117B"/>
    <w:rsid w:val="001311AF"/>
    <w:rsid w:val="00131F83"/>
    <w:rsid w:val="001321BA"/>
    <w:rsid w:val="001334C5"/>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19D6"/>
    <w:rsid w:val="00182125"/>
    <w:rsid w:val="00190BC5"/>
    <w:rsid w:val="0019295E"/>
    <w:rsid w:val="00192B6E"/>
    <w:rsid w:val="00193E16"/>
    <w:rsid w:val="00194923"/>
    <w:rsid w:val="00194AEF"/>
    <w:rsid w:val="0019523E"/>
    <w:rsid w:val="001966D4"/>
    <w:rsid w:val="00197214"/>
    <w:rsid w:val="001A2DFE"/>
    <w:rsid w:val="001A370A"/>
    <w:rsid w:val="001A6447"/>
    <w:rsid w:val="001A72C6"/>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1F3858"/>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37F4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3FD1"/>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1BE7"/>
    <w:rsid w:val="0031298D"/>
    <w:rsid w:val="00312F1E"/>
    <w:rsid w:val="0031346A"/>
    <w:rsid w:val="003150B1"/>
    <w:rsid w:val="00315102"/>
    <w:rsid w:val="00317E19"/>
    <w:rsid w:val="003221BA"/>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1ABC"/>
    <w:rsid w:val="00383B4D"/>
    <w:rsid w:val="003848A5"/>
    <w:rsid w:val="003905F9"/>
    <w:rsid w:val="003906F8"/>
    <w:rsid w:val="003912BE"/>
    <w:rsid w:val="0039209F"/>
    <w:rsid w:val="00393FB7"/>
    <w:rsid w:val="0039525B"/>
    <w:rsid w:val="00397024"/>
    <w:rsid w:val="003973B8"/>
    <w:rsid w:val="00397CB2"/>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18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083"/>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1E96"/>
    <w:rsid w:val="00522A4A"/>
    <w:rsid w:val="00524441"/>
    <w:rsid w:val="00524446"/>
    <w:rsid w:val="0052549E"/>
    <w:rsid w:val="0052679B"/>
    <w:rsid w:val="00526C85"/>
    <w:rsid w:val="0053022F"/>
    <w:rsid w:val="00531455"/>
    <w:rsid w:val="00537C60"/>
    <w:rsid w:val="00540E49"/>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66051"/>
    <w:rsid w:val="005674C6"/>
    <w:rsid w:val="005719BC"/>
    <w:rsid w:val="00572261"/>
    <w:rsid w:val="005743A6"/>
    <w:rsid w:val="00577AEE"/>
    <w:rsid w:val="00582397"/>
    <w:rsid w:val="00582AA2"/>
    <w:rsid w:val="00583015"/>
    <w:rsid w:val="00583A51"/>
    <w:rsid w:val="0058518E"/>
    <w:rsid w:val="005925DE"/>
    <w:rsid w:val="00592634"/>
    <w:rsid w:val="00592771"/>
    <w:rsid w:val="005939D9"/>
    <w:rsid w:val="0059421B"/>
    <w:rsid w:val="00594BB9"/>
    <w:rsid w:val="00595912"/>
    <w:rsid w:val="00596266"/>
    <w:rsid w:val="00596B3F"/>
    <w:rsid w:val="00597529"/>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4BFB"/>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0772"/>
    <w:rsid w:val="0068186C"/>
    <w:rsid w:val="0068229A"/>
    <w:rsid w:val="0068473B"/>
    <w:rsid w:val="006873D1"/>
    <w:rsid w:val="00687B75"/>
    <w:rsid w:val="006917E6"/>
    <w:rsid w:val="00694C2F"/>
    <w:rsid w:val="0069504C"/>
    <w:rsid w:val="006964C9"/>
    <w:rsid w:val="00696D4F"/>
    <w:rsid w:val="006A0841"/>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649E"/>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092B"/>
    <w:rsid w:val="007916C2"/>
    <w:rsid w:val="00791F5B"/>
    <w:rsid w:val="007A05AD"/>
    <w:rsid w:val="007A437F"/>
    <w:rsid w:val="007A4E00"/>
    <w:rsid w:val="007A7F7E"/>
    <w:rsid w:val="007B0C75"/>
    <w:rsid w:val="007B24A6"/>
    <w:rsid w:val="007B29E9"/>
    <w:rsid w:val="007B2DE5"/>
    <w:rsid w:val="007B3392"/>
    <w:rsid w:val="007B39ED"/>
    <w:rsid w:val="007B3ACA"/>
    <w:rsid w:val="007B447F"/>
    <w:rsid w:val="007B4E38"/>
    <w:rsid w:val="007B6FFC"/>
    <w:rsid w:val="007B750C"/>
    <w:rsid w:val="007C2B3B"/>
    <w:rsid w:val="007C2F6E"/>
    <w:rsid w:val="007C36CB"/>
    <w:rsid w:val="007C4AF8"/>
    <w:rsid w:val="007C5730"/>
    <w:rsid w:val="007C5EE9"/>
    <w:rsid w:val="007D13CE"/>
    <w:rsid w:val="007D4380"/>
    <w:rsid w:val="007D6E9E"/>
    <w:rsid w:val="007D7790"/>
    <w:rsid w:val="007D7BEB"/>
    <w:rsid w:val="007E41BB"/>
    <w:rsid w:val="007E54D8"/>
    <w:rsid w:val="007E5A0E"/>
    <w:rsid w:val="007F1507"/>
    <w:rsid w:val="007F571C"/>
    <w:rsid w:val="007F690D"/>
    <w:rsid w:val="00800EB4"/>
    <w:rsid w:val="00803450"/>
    <w:rsid w:val="00803F4C"/>
    <w:rsid w:val="00804CB3"/>
    <w:rsid w:val="008067BB"/>
    <w:rsid w:val="008108AE"/>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5F39"/>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51D2"/>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33E6"/>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2100"/>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16B3F"/>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864"/>
    <w:rsid w:val="00B20950"/>
    <w:rsid w:val="00B21C36"/>
    <w:rsid w:val="00B23130"/>
    <w:rsid w:val="00B23E98"/>
    <w:rsid w:val="00B24699"/>
    <w:rsid w:val="00B26D3A"/>
    <w:rsid w:val="00B27A33"/>
    <w:rsid w:val="00B27C56"/>
    <w:rsid w:val="00B30825"/>
    <w:rsid w:val="00B31AA8"/>
    <w:rsid w:val="00B338B9"/>
    <w:rsid w:val="00B34AFA"/>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00C5"/>
    <w:rsid w:val="00B81290"/>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66"/>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2B26"/>
    <w:rsid w:val="00CB3708"/>
    <w:rsid w:val="00CB591D"/>
    <w:rsid w:val="00CB7578"/>
    <w:rsid w:val="00CC05B9"/>
    <w:rsid w:val="00CC284F"/>
    <w:rsid w:val="00CC3208"/>
    <w:rsid w:val="00CC550A"/>
    <w:rsid w:val="00CC6AAD"/>
    <w:rsid w:val="00CD110E"/>
    <w:rsid w:val="00CD461C"/>
    <w:rsid w:val="00CD50CC"/>
    <w:rsid w:val="00CD71E0"/>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00A2"/>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07445"/>
    <w:rsid w:val="00E10479"/>
    <w:rsid w:val="00E10C9A"/>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04CF"/>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97A7B"/>
    <w:rsid w:val="00FA1749"/>
    <w:rsid w:val="00FA3B64"/>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4E58"/>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2.xml><?xml version="1.0" encoding="utf-8"?>
<ds:datastoreItem xmlns:ds="http://schemas.openxmlformats.org/officeDocument/2006/customXml" ds:itemID="{897DC8F3-94D4-4134-BF2D-BDC754C016AF}">
  <ds:schemaRef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AA514-421F-4D03-ABB6-65BB354E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18880</Words>
  <Characters>137822</Characters>
  <Application>Microsoft Office Word</Application>
  <DocSecurity>0</DocSecurity>
  <Lines>1148</Lines>
  <Paragraphs>312</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Мартьянова</cp:lastModifiedBy>
  <cp:revision>5</cp:revision>
  <cp:lastPrinted>2019-11-05T12:41:00Z</cp:lastPrinted>
  <dcterms:created xsi:type="dcterms:W3CDTF">2023-12-20T13:48:00Z</dcterms:created>
  <dcterms:modified xsi:type="dcterms:W3CDTF">2024-01-16T07:15:00Z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