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0869" w14:textId="77777777" w:rsidR="007A4157" w:rsidRDefault="007A4157" w:rsidP="007A4157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704118" wp14:editId="1F7E15C7">
                <wp:simplePos x="0" y="0"/>
                <wp:positionH relativeFrom="column">
                  <wp:posOffset>4048125</wp:posOffset>
                </wp:positionH>
                <wp:positionV relativeFrom="page">
                  <wp:posOffset>843114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13684" w14:textId="77777777" w:rsidR="007A4157" w:rsidRDefault="007A4157" w:rsidP="007A4157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14:paraId="6DF5250A" w14:textId="0B483275" w:rsidR="007A4157" w:rsidRPr="009310E0" w:rsidRDefault="00CB0A88" w:rsidP="007A4157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30</w:t>
                            </w:r>
                            <w:r w:rsidR="007A4157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</w:t>
                            </w:r>
                            <w:r w:rsidR="007A4157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4</w:t>
                            </w:r>
                            <w:r w:rsidR="007A4157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.2019</w:t>
                            </w:r>
                          </w:p>
                          <w:p w14:paraId="709AEE96" w14:textId="77777777" w:rsidR="007A4157" w:rsidRPr="00AE08E5" w:rsidRDefault="007A4157" w:rsidP="007A4157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18.75pt;margin-top:66.4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HHpXQd0AAAAL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14:paraId="2FE13684" w14:textId="77777777" w:rsidR="007A4157" w:rsidRDefault="007A4157" w:rsidP="007A4157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14:paraId="6DF5250A" w14:textId="0B483275" w:rsidR="007A4157" w:rsidRPr="009310E0" w:rsidRDefault="00CB0A88" w:rsidP="007A4157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30</w:t>
                      </w:r>
                      <w:r w:rsidR="007A4157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</w:t>
                      </w:r>
                      <w:r w:rsidR="007A4157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4</w:t>
                      </w:r>
                      <w:r w:rsidR="007A4157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.2019</w:t>
                      </w:r>
                    </w:p>
                    <w:p w14:paraId="709AEE96" w14:textId="77777777" w:rsidR="007A4157" w:rsidRPr="00AE08E5" w:rsidRDefault="007A4157" w:rsidP="007A4157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1647E3" wp14:editId="48D0AC1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619375" cy="47625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476FC" w14:textId="6B15A27F" w:rsidR="00CB0A88" w:rsidRDefault="007A4157" w:rsidP="00CB0A88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0866423A" wp14:editId="56075F12">
                <wp:simplePos x="0" y="0"/>
                <wp:positionH relativeFrom="column">
                  <wp:posOffset>-104140</wp:posOffset>
                </wp:positionH>
                <wp:positionV relativeFrom="page">
                  <wp:posOffset>1583552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DA3B40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pt,124.7pt" to="463.8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" o:allowincell="f" o:allowoverlap="f" strokecolor="#237c29" strokeweight="1pt">
                <w10:wrap anchory="page"/>
              </v:line>
            </w:pict>
          </mc:Fallback>
        </mc:AlternateContent>
      </w:r>
    </w:p>
    <w:p w14:paraId="3807D334" w14:textId="77777777" w:rsidR="00CB0A88" w:rsidRPr="00CB0A88" w:rsidRDefault="00CB0A88" w:rsidP="00CB0A88">
      <w:pPr>
        <w:pStyle w:val="a3"/>
        <w:jc w:val="both"/>
      </w:pPr>
    </w:p>
    <w:p w14:paraId="36131E4B" w14:textId="167E03E8" w:rsidR="00CB0A88" w:rsidRPr="00173B85" w:rsidRDefault="00CB0A88" w:rsidP="007A4157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</w:pPr>
      <w:r w:rsidRPr="00CB0A88">
        <w:rPr>
          <w:rFonts w:ascii="Segoe UI" w:eastAsia="Times New Roman" w:hAnsi="Segoe UI" w:cs="Segoe UI"/>
          <w:b/>
          <w:bCs/>
          <w:color w:val="006600"/>
          <w:sz w:val="36"/>
          <w:szCs w:val="36"/>
          <w:lang w:val="ru-RU"/>
        </w:rPr>
        <w:t>НПФ Сбербанка возглавил Александр Зарецкий</w:t>
      </w:r>
    </w:p>
    <w:p w14:paraId="24EC9650" w14:textId="3C8B617F" w:rsidR="00CB0A88" w:rsidRPr="00DC72C0" w:rsidRDefault="00CB0A88" w:rsidP="00CB0A88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en-US" w:eastAsia="en-US"/>
        </w:rPr>
      </w:pPr>
    </w:p>
    <w:p w14:paraId="60893CE0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Генеральным директором НПФ Сбербанка </w:t>
      </w:r>
      <w:proofErr w:type="gramStart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назначен</w:t>
      </w:r>
      <w:proofErr w:type="gramEnd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Александр Зарецкий. Совет директоров компании избрал его на эту должность с 30 апреля.</w:t>
      </w:r>
    </w:p>
    <w:p w14:paraId="0BF144A1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41E29381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Александр Зарецкий обладает более чем двадцатилетним опытом работы на руководящих позициях в международных компаниях сферы страхования жизни. Последние 15 лет, до 1 апреля 2019 года, возглавлял компанию по страхованию жизни «</w:t>
      </w:r>
      <w:proofErr w:type="spellStart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МетЛайф</w:t>
      </w:r>
      <w:proofErr w:type="spellEnd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» (ранее – «</w:t>
      </w:r>
      <w:proofErr w:type="spellStart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Алико</w:t>
      </w:r>
      <w:proofErr w:type="spellEnd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», «AIG Россия»).</w:t>
      </w:r>
    </w:p>
    <w:p w14:paraId="2C418C7D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</w:p>
    <w:p w14:paraId="69B75BF8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Наталья </w:t>
      </w:r>
      <w:proofErr w:type="spellStart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Алымова</w:t>
      </w:r>
      <w:proofErr w:type="spellEnd"/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, старший вице-президент Сбербанка, руководитель Блока «Управление благосостоянием»:</w:t>
      </w:r>
    </w:p>
    <w:p w14:paraId="3A501AA7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</w:p>
    <w:p w14:paraId="2E1B3F2D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  <w:t>«Основные задачи Александра Зарецкого в новой должности – оперативное управление и стратегическое развитие НПФ Сбербанка. В числе приоритетов – сохранение и укрепление лидирующих позиций фонда на российском пенсионном рынке, развитие программ негосударственного пенсионного обеспечения для частных и корпоративных клиентов, переход от классических пенсионных продуктов к полноценной экосистеме услуг, позволяющих клиентам комфортно жить на пенсии.</w:t>
      </w:r>
    </w:p>
    <w:p w14:paraId="66537843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</w:pPr>
    </w:p>
    <w:p w14:paraId="2B399728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  <w:t xml:space="preserve">Страхование жизни и пенсионное обеспечение – очень близкие смежные отрасли, во многом работающие на одних и тех же принципах и обладающие одинаково высоким потенциалом развития. </w:t>
      </w:r>
      <w:proofErr w:type="gramStart"/>
      <w:r w:rsidRPr="00DC72C0"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  <w:t>Уверена</w:t>
      </w:r>
      <w:proofErr w:type="gramEnd"/>
      <w:r w:rsidRPr="00DC72C0">
        <w:rPr>
          <w:rFonts w:ascii="Segoe UI" w:eastAsiaTheme="minorHAnsi" w:hAnsi="Segoe UI" w:cs="Segoe UI"/>
          <w:i/>
          <w:sz w:val="24"/>
          <w:szCs w:val="24"/>
          <w:shd w:val="clear" w:color="auto" w:fill="FFFFFF"/>
          <w:lang w:val="ru-RU" w:eastAsia="en-US"/>
        </w:rPr>
        <w:t>, что многолетний опыт работы Александра в сфере страхования жизни поможет дальнейшему успешному развитию пенсионной линии бизнеса в рамках Блока «Управление благосостоянием» и Группы Сбербанк в целом».</w:t>
      </w:r>
    </w:p>
    <w:p w14:paraId="5B6893D3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 xml:space="preserve"> </w:t>
      </w:r>
    </w:p>
    <w:p w14:paraId="55FBEBA1" w14:textId="77777777" w:rsidR="00DC72C0" w:rsidRPr="00DC72C0" w:rsidRDefault="00DC72C0" w:rsidP="00DC72C0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  <w:r w:rsidRPr="00DC72C0"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  <w:t>Александр Зарецкий в страховании с 1997 года. В 2010-2018 гг. был президентом Ассоциации страховщиков жизни. Активно участвовал в разработке предложений профессионального страхового сообщества по развитию системы индивидуального пенсионного капитала. До начала карьеры в страховании работал коммерческим представителем в российских и международных корпорациях.</w:t>
      </w:r>
    </w:p>
    <w:p w14:paraId="511529AD" w14:textId="77777777" w:rsidR="00CB0A88" w:rsidRPr="00DC72C0" w:rsidRDefault="00CB0A88" w:rsidP="00CB0A88">
      <w:pPr>
        <w:rPr>
          <w:lang w:val="ru-RU"/>
        </w:rPr>
      </w:pPr>
    </w:p>
    <w:p w14:paraId="33ECA206" w14:textId="388C1C13" w:rsidR="00CB0A88" w:rsidRDefault="00DA1468" w:rsidP="00DA1468">
      <w:pPr>
        <w:widowControl w:val="0"/>
        <w:suppressAutoHyphens/>
        <w:jc w:val="center"/>
        <w:rPr>
          <w:rFonts w:ascii="Segoe UI" w:hAnsi="Segoe UI" w:cs="Segoe UI"/>
          <w:kern w:val="2"/>
          <w:lang w:bidi="th-TH"/>
        </w:rPr>
      </w:pPr>
      <w:r w:rsidRPr="00DA1468">
        <w:rPr>
          <w:rFonts w:ascii="Segoe UI" w:hAnsi="Segoe UI" w:cs="Segoe UI"/>
          <w:kern w:val="2"/>
          <w:lang w:bidi="th-TH"/>
        </w:rPr>
        <w:lastRenderedPageBreak/>
        <w:t># # #</w:t>
      </w:r>
    </w:p>
    <w:p w14:paraId="709993B4" w14:textId="77777777" w:rsidR="00DC72C0" w:rsidRDefault="00DC72C0" w:rsidP="00DA1468">
      <w:pPr>
        <w:widowControl w:val="0"/>
        <w:suppressAutoHyphens/>
        <w:jc w:val="center"/>
        <w:rPr>
          <w:rFonts w:ascii="Segoe UI" w:hAnsi="Segoe UI" w:cs="Segoe UI"/>
          <w:kern w:val="2"/>
          <w:lang w:val="ru-RU" w:bidi="th-TH"/>
        </w:rPr>
      </w:pPr>
    </w:p>
    <w:p w14:paraId="24DBEE43" w14:textId="6EA0A346" w:rsidR="00C97547" w:rsidRPr="00C97547" w:rsidRDefault="00C97547" w:rsidP="00C97547">
      <w:pPr>
        <w:jc w:val="both"/>
        <w:rPr>
          <w:rFonts w:ascii="Segoe UI" w:hAnsi="Segoe UI" w:cs="Segoe UI"/>
          <w:color w:val="000000"/>
          <w:sz w:val="20"/>
          <w:lang w:val="ru-RU"/>
        </w:rPr>
      </w:pPr>
      <w:r w:rsidRPr="00C97547">
        <w:rPr>
          <w:rFonts w:ascii="Segoe UI" w:hAnsi="Segoe UI" w:cs="Segoe UI"/>
          <w:b/>
          <w:color w:val="000000"/>
          <w:sz w:val="20"/>
          <w:lang w:val="ru-RU"/>
        </w:rPr>
        <w:t>НПФ Сбер</w:t>
      </w:r>
      <w:r w:rsidRPr="00C97547">
        <w:rPr>
          <w:rFonts w:ascii="Segoe UI" w:hAnsi="Segoe UI" w:cs="Segoe UI"/>
          <w:b/>
          <w:color w:val="000000"/>
          <w:sz w:val="20"/>
          <w:lang w:val="ru-RU"/>
        </w:rPr>
        <w:t>б</w:t>
      </w:r>
      <w:r w:rsidRPr="00C97547">
        <w:rPr>
          <w:rFonts w:ascii="Segoe UI" w:hAnsi="Segoe UI" w:cs="Segoe UI"/>
          <w:b/>
          <w:color w:val="000000"/>
          <w:sz w:val="20"/>
          <w:lang w:val="ru-RU"/>
        </w:rPr>
        <w:t>а</w:t>
      </w:r>
      <w:r w:rsidRPr="00C97547">
        <w:rPr>
          <w:rFonts w:ascii="Segoe UI" w:hAnsi="Segoe UI" w:cs="Segoe UI"/>
          <w:b/>
          <w:color w:val="000000"/>
          <w:sz w:val="20"/>
          <w:lang w:val="ru-RU"/>
        </w:rPr>
        <w:t xml:space="preserve">нка </w:t>
      </w:r>
    </w:p>
    <w:p w14:paraId="245050BD" w14:textId="1356F449" w:rsidR="00C97547" w:rsidRPr="00C97547" w:rsidRDefault="00C97547" w:rsidP="00C97547">
      <w:pPr>
        <w:jc w:val="both"/>
        <w:rPr>
          <w:rFonts w:ascii="Segoe UI" w:hAnsi="Segoe UI" w:cs="Segoe UI"/>
          <w:color w:val="000000"/>
          <w:sz w:val="20"/>
          <w:lang w:val="ru-RU"/>
        </w:rPr>
      </w:pPr>
      <w:r w:rsidRPr="00C97547">
        <w:rPr>
          <w:rFonts w:ascii="Segoe UI" w:hAnsi="Segoe UI" w:cs="Segoe UI"/>
          <w:color w:val="000000"/>
          <w:sz w:val="20"/>
          <w:lang w:val="ru-RU"/>
        </w:rPr>
        <w:t xml:space="preserve">Турковская Дарья </w:t>
      </w:r>
    </w:p>
    <w:p w14:paraId="383638AE" w14:textId="77777777" w:rsidR="00C97547" w:rsidRPr="00C97547" w:rsidRDefault="00C97547" w:rsidP="00C97547">
      <w:pPr>
        <w:jc w:val="both"/>
        <w:rPr>
          <w:rFonts w:ascii="Segoe UI" w:hAnsi="Segoe UI" w:cs="Segoe UI"/>
          <w:color w:val="000000"/>
          <w:sz w:val="20"/>
          <w:lang w:val="ru-RU"/>
        </w:rPr>
      </w:pPr>
      <w:r w:rsidRPr="00C97547">
        <w:rPr>
          <w:rFonts w:ascii="Segoe UI" w:hAnsi="Segoe UI" w:cs="Segoe UI"/>
          <w:color w:val="000000"/>
          <w:sz w:val="20"/>
          <w:lang w:val="ru-RU"/>
        </w:rPr>
        <w:t>Пресс-служба</w:t>
      </w:r>
    </w:p>
    <w:p w14:paraId="132932C5" w14:textId="0CB826F3" w:rsidR="00C97547" w:rsidRPr="00C97547" w:rsidRDefault="00C97547" w:rsidP="00C97547">
      <w:pPr>
        <w:jc w:val="both"/>
        <w:rPr>
          <w:rFonts w:ascii="Segoe UI" w:hAnsi="Segoe UI" w:cs="Segoe UI"/>
          <w:color w:val="000000"/>
          <w:sz w:val="20"/>
          <w:lang w:val="en-US"/>
        </w:rPr>
      </w:pPr>
      <w:r w:rsidRPr="00C97547">
        <w:rPr>
          <w:rFonts w:ascii="Segoe UI" w:hAnsi="Segoe UI" w:cs="Segoe UI"/>
          <w:color w:val="000000"/>
          <w:sz w:val="20"/>
          <w:lang w:val="ru-RU"/>
        </w:rPr>
        <w:t>тел. (495) 785-38-87</w:t>
      </w:r>
      <w:r w:rsidRPr="00C97547">
        <w:rPr>
          <w:rFonts w:ascii="Segoe UI" w:hAnsi="Segoe UI" w:cs="Segoe UI"/>
          <w:color w:val="000000"/>
          <w:sz w:val="20"/>
          <w:lang w:val="ru-RU"/>
        </w:rPr>
        <w:t xml:space="preserve"> </w:t>
      </w:r>
      <w:r w:rsidRPr="00C97547">
        <w:rPr>
          <w:rFonts w:ascii="Segoe UI" w:hAnsi="Segoe UI" w:cs="Segoe UI"/>
          <w:color w:val="000000"/>
          <w:sz w:val="20"/>
          <w:lang w:val="ru-RU"/>
        </w:rPr>
        <w:t>доб.</w:t>
      </w:r>
      <w:r w:rsidRPr="00C97547">
        <w:rPr>
          <w:rFonts w:ascii="Segoe UI" w:hAnsi="Segoe UI" w:cs="Segoe UI"/>
          <w:color w:val="000000"/>
          <w:sz w:val="20"/>
          <w:lang w:val="en-US"/>
        </w:rPr>
        <w:t xml:space="preserve"> </w:t>
      </w:r>
      <w:r w:rsidRPr="00C97547">
        <w:rPr>
          <w:rFonts w:ascii="Segoe UI" w:hAnsi="Segoe UI" w:cs="Segoe UI"/>
          <w:color w:val="000000"/>
          <w:sz w:val="20"/>
          <w:lang w:val="ru-RU"/>
        </w:rPr>
        <w:t>1150</w:t>
      </w:r>
    </w:p>
    <w:p w14:paraId="2E8D74F4" w14:textId="290D5F33" w:rsidR="00C97547" w:rsidRPr="00C97547" w:rsidRDefault="00C97547" w:rsidP="00C97547">
      <w:pPr>
        <w:jc w:val="both"/>
        <w:rPr>
          <w:rFonts w:ascii="Segoe UI" w:hAnsi="Segoe UI" w:cs="Segoe UI"/>
          <w:color w:val="000000"/>
          <w:sz w:val="20"/>
          <w:u w:val="single"/>
          <w:lang w:val="ru-RU"/>
        </w:rPr>
      </w:pPr>
      <w:hyperlink r:id="rId7" w:history="1">
        <w:r w:rsidRPr="00C97547">
          <w:rPr>
            <w:rStyle w:val="a7"/>
            <w:rFonts w:ascii="Segoe UI" w:hAnsi="Segoe UI" w:cs="Segoe UI"/>
            <w:sz w:val="20"/>
            <w:lang w:val="en-US"/>
          </w:rPr>
          <w:t>pr</w:t>
        </w:r>
        <w:r w:rsidRPr="00C97547">
          <w:rPr>
            <w:rStyle w:val="a7"/>
            <w:rFonts w:ascii="Segoe UI" w:hAnsi="Segoe UI" w:cs="Segoe UI"/>
            <w:sz w:val="20"/>
            <w:lang w:val="ru-RU"/>
          </w:rPr>
          <w:t>@</w:t>
        </w:r>
        <w:r w:rsidRPr="00C97547">
          <w:rPr>
            <w:rStyle w:val="a7"/>
            <w:rFonts w:ascii="Segoe UI" w:hAnsi="Segoe UI" w:cs="Segoe UI"/>
            <w:sz w:val="20"/>
          </w:rPr>
          <w:t>npfsb</w:t>
        </w:r>
        <w:r w:rsidRPr="00C97547">
          <w:rPr>
            <w:rStyle w:val="a7"/>
            <w:rFonts w:ascii="Segoe UI" w:hAnsi="Segoe UI" w:cs="Segoe UI"/>
            <w:sz w:val="20"/>
            <w:lang w:val="ru-RU"/>
          </w:rPr>
          <w:t>.</w:t>
        </w:r>
        <w:r w:rsidRPr="00C97547">
          <w:rPr>
            <w:rStyle w:val="a7"/>
            <w:rFonts w:ascii="Segoe UI" w:hAnsi="Segoe UI" w:cs="Segoe UI"/>
            <w:sz w:val="20"/>
          </w:rPr>
          <w:t>ru</w:t>
        </w:r>
      </w:hyperlink>
    </w:p>
    <w:p w14:paraId="48F2C77D" w14:textId="77777777" w:rsidR="00C97547" w:rsidRPr="00C97547" w:rsidRDefault="00C97547" w:rsidP="00C97547">
      <w:pPr>
        <w:widowControl w:val="0"/>
        <w:suppressAutoHyphens/>
        <w:rPr>
          <w:rFonts w:ascii="Segoe UI" w:hAnsi="Segoe UI" w:cs="Segoe UI"/>
          <w:kern w:val="2"/>
          <w:lang w:val="ru-RU" w:bidi="th-TH"/>
        </w:rPr>
      </w:pPr>
      <w:bookmarkStart w:id="0" w:name="_GoBack"/>
      <w:bookmarkEnd w:id="0"/>
    </w:p>
    <w:p w14:paraId="1EE47728" w14:textId="77777777" w:rsidR="00DC72C0" w:rsidRPr="00DC72C0" w:rsidRDefault="00DC72C0" w:rsidP="00DC72C0">
      <w:pPr>
        <w:jc w:val="both"/>
        <w:rPr>
          <w:lang w:val="ru-RU"/>
        </w:rPr>
      </w:pPr>
      <w:r w:rsidRPr="00DC72C0"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 xml:space="preserve">НПФ Сбербанка </w:t>
      </w:r>
      <w:r w:rsidRPr="00DC72C0">
        <w:rPr>
          <w:rFonts w:ascii="Segoe UI" w:hAnsi="Segoe UI" w:cs="Segoe UI"/>
          <w:color w:val="000000"/>
          <w:sz w:val="20"/>
          <w:szCs w:val="20"/>
          <w:lang w:val="ru-RU"/>
        </w:rPr>
        <w:t>—</w:t>
      </w:r>
      <w:r w:rsidRPr="00DC72C0">
        <w:rPr>
          <w:rFonts w:ascii="Segoe UI" w:hAnsi="Segoe UI" w:cs="Segoe UI"/>
          <w:b/>
          <w:bCs/>
          <w:color w:val="000000"/>
          <w:sz w:val="20"/>
          <w:szCs w:val="20"/>
          <w:lang w:val="ru-RU"/>
        </w:rPr>
        <w:t xml:space="preserve"> </w:t>
      </w:r>
      <w:r w:rsidRPr="00DC72C0">
        <w:rPr>
          <w:rFonts w:ascii="Segoe UI" w:hAnsi="Segoe UI" w:cs="Segoe UI"/>
          <w:color w:val="000000"/>
          <w:sz w:val="20"/>
          <w:szCs w:val="20"/>
          <w:lang w:val="ru-RU"/>
        </w:rPr>
        <w:t>н</w:t>
      </w:r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егосударственный пенсионный фонд Сбербанка основан 17 марта 1995 года. Более 24 лет фонд успешно работает на пенсионном рынке и имеет наивысший рейтинг надёжности </w:t>
      </w:r>
      <w:proofErr w:type="gramStart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от</w:t>
      </w:r>
      <w:proofErr w:type="gramEnd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«</w:t>
      </w:r>
      <w:proofErr w:type="gramStart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Эксперт</w:t>
      </w:r>
      <w:proofErr w:type="gramEnd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РА»: </w:t>
      </w:r>
      <w:proofErr w:type="spellStart"/>
      <w:r>
        <w:rPr>
          <w:rFonts w:ascii="Segoe UI" w:hAnsi="Segoe UI" w:cs="Segoe UI"/>
          <w:color w:val="000000"/>
          <w:sz w:val="20"/>
          <w:szCs w:val="20"/>
          <w:highlight w:val="white"/>
        </w:rPr>
        <w:t>ruAAA</w:t>
      </w:r>
      <w:proofErr w:type="spellEnd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«Стабильный». АО «НПФ Сбербанка» входит в Блок «Управление благосостоянием» ПАО Сбербанк и занимает лидирующую позицию в топ-10 негосударственных пенсионных фондов России. Общий объём пенсионных активов фонда превышает 634 </w:t>
      </w:r>
      <w:proofErr w:type="gramStart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млрд</w:t>
      </w:r>
      <w:proofErr w:type="gramEnd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рублей (по данным финансовой отчетности за 1 квартал 2019 года). Подробная информация о фонде размещена на сайте</w:t>
      </w:r>
      <w:r w:rsidRPr="00DC72C0">
        <w:rPr>
          <w:rFonts w:ascii="Segoe UI" w:hAnsi="Segoe UI" w:cs="Segoe UI"/>
          <w:color w:val="000000"/>
          <w:sz w:val="20"/>
          <w:szCs w:val="20"/>
          <w:lang w:val="ru-RU"/>
        </w:rPr>
        <w:t xml:space="preserve">: </w:t>
      </w:r>
      <w:hyperlink r:id="rId8" w:history="1">
        <w:r>
          <w:rPr>
            <w:rStyle w:val="a7"/>
            <w:rFonts w:ascii="Segoe UI" w:hAnsi="Segoe UI" w:cs="Segoe UI"/>
            <w:sz w:val="20"/>
            <w:szCs w:val="20"/>
          </w:rPr>
          <w:t>https</w:t>
        </w:r>
        <w:r w:rsidRPr="00DC72C0">
          <w:rPr>
            <w:rStyle w:val="a7"/>
            <w:rFonts w:ascii="Segoe UI" w:hAnsi="Segoe UI" w:cs="Segoe UI"/>
            <w:sz w:val="20"/>
            <w:szCs w:val="20"/>
            <w:lang w:val="ru-RU"/>
          </w:rPr>
          <w:t>://</w:t>
        </w:r>
        <w:proofErr w:type="spellStart"/>
        <w:r>
          <w:rPr>
            <w:rStyle w:val="a7"/>
            <w:rFonts w:ascii="Segoe UI" w:hAnsi="Segoe UI" w:cs="Segoe UI"/>
            <w:sz w:val="20"/>
            <w:szCs w:val="20"/>
          </w:rPr>
          <w:t>npfsberbanka</w:t>
        </w:r>
        <w:proofErr w:type="spellEnd"/>
        <w:r w:rsidRPr="00DC72C0">
          <w:rPr>
            <w:rStyle w:val="a7"/>
            <w:rFonts w:ascii="Segoe UI" w:hAnsi="Segoe UI" w:cs="Segoe UI"/>
            <w:sz w:val="20"/>
            <w:szCs w:val="20"/>
            <w:lang w:val="ru-RU"/>
          </w:rPr>
          <w:t>.</w:t>
        </w:r>
        <w:proofErr w:type="spellStart"/>
        <w:r>
          <w:rPr>
            <w:rStyle w:val="a7"/>
            <w:rFonts w:ascii="Segoe UI" w:hAnsi="Segoe UI" w:cs="Segoe UI"/>
            <w:sz w:val="20"/>
            <w:szCs w:val="20"/>
          </w:rPr>
          <w:t>ru</w:t>
        </w:r>
        <w:proofErr w:type="spellEnd"/>
      </w:hyperlink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.</w:t>
      </w:r>
    </w:p>
    <w:p w14:paraId="3DBC01B0" w14:textId="77777777" w:rsidR="00DC72C0" w:rsidRPr="00DC72C0" w:rsidRDefault="00DC72C0" w:rsidP="00DC72C0">
      <w:pPr>
        <w:spacing w:before="280" w:after="280"/>
        <w:jc w:val="both"/>
        <w:rPr>
          <w:lang w:val="ru-RU"/>
        </w:rPr>
      </w:pPr>
      <w:r w:rsidRPr="00DC72C0">
        <w:rPr>
          <w:rFonts w:ascii="Segoe UI" w:hAnsi="Segoe UI" w:cs="Segoe UI"/>
          <w:b/>
          <w:bCs/>
          <w:color w:val="000000"/>
          <w:sz w:val="20"/>
          <w:szCs w:val="20"/>
          <w:highlight w:val="white"/>
          <w:lang w:val="ru-RU"/>
        </w:rPr>
        <w:t>Блок «Управление благосостоянием»</w:t>
      </w:r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был создан в Сбербанке как отдельное направление в сентябре 2013 года. Блок занимается развитием страховых и пенсионных продуктов, управлением активами и депозитарными услугами и курирует бизнес пяти дочерних компаний: «Сбербанк Страхование жизни», «Сбербанк Страхование», «Сбербанк Управление активами», НПФ Сбербанка, «Страховой брокер Сбербанка». По итогам 2018 года</w:t>
      </w:r>
      <w:r>
        <w:rPr>
          <w:rFonts w:ascii="Segoe UI" w:hAnsi="Segoe UI" w:cs="Segoe UI"/>
          <w:color w:val="000000"/>
          <w:sz w:val="20"/>
          <w:szCs w:val="20"/>
          <w:highlight w:val="white"/>
        </w:rPr>
        <w:t> </w:t>
      </w:r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активы под управлением бизнеса блока «Управление благосостоянием» выросли на 35% до 1,2 </w:t>
      </w:r>
      <w:proofErr w:type="gramStart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трлн</w:t>
      </w:r>
      <w:proofErr w:type="gramEnd"/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 xml:space="preserve"> рублей. Сбербанк сохранил лидирующие позиции на рынках</w:t>
      </w:r>
      <w:r>
        <w:rPr>
          <w:rFonts w:ascii="Segoe UI" w:hAnsi="Segoe UI" w:cs="Segoe UI"/>
          <w:color w:val="000000"/>
          <w:sz w:val="20"/>
          <w:szCs w:val="20"/>
          <w:highlight w:val="white"/>
        </w:rPr>
        <w:t> </w:t>
      </w:r>
      <w:r w:rsidRPr="00DC72C0">
        <w:rPr>
          <w:rFonts w:ascii="Segoe UI" w:hAnsi="Segoe UI" w:cs="Segoe UI"/>
          <w:color w:val="000000"/>
          <w:sz w:val="20"/>
          <w:szCs w:val="20"/>
          <w:highlight w:val="white"/>
          <w:lang w:val="ru-RU"/>
        </w:rPr>
        <w:t>управления активами, обязательного пенсионного страхования и страхования жизни.</w:t>
      </w:r>
    </w:p>
    <w:p w14:paraId="44B5DAE2" w14:textId="77777777" w:rsidR="00CB0A88" w:rsidRDefault="00CB0A88" w:rsidP="007A4157">
      <w:pPr>
        <w:jc w:val="both"/>
        <w:rPr>
          <w:lang w:val="ru-RU"/>
        </w:rPr>
      </w:pPr>
    </w:p>
    <w:p w14:paraId="0F9AD843" w14:textId="77777777" w:rsidR="00CB0A88" w:rsidRPr="002C1954" w:rsidRDefault="00CB0A88" w:rsidP="007A4157">
      <w:pPr>
        <w:jc w:val="both"/>
        <w:rPr>
          <w:lang w:val="ru-RU"/>
        </w:rPr>
      </w:pPr>
    </w:p>
    <w:p w14:paraId="64DB3D0D" w14:textId="23A47003" w:rsidR="007D5D5F" w:rsidRDefault="007D5D5F" w:rsidP="007D5D5F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49C216D4" w14:textId="77777777" w:rsidR="009C4F25" w:rsidRDefault="009C4F25" w:rsidP="007D5D5F">
      <w:pPr>
        <w:pStyle w:val="a6"/>
        <w:shd w:val="clear" w:color="auto" w:fill="FFFFFF"/>
        <w:spacing w:line="240" w:lineRule="auto"/>
        <w:ind w:left="0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p w14:paraId="2CDAA171" w14:textId="77777777" w:rsidR="005613AD" w:rsidRPr="004021A2" w:rsidRDefault="005613AD" w:rsidP="005462C9">
      <w:pPr>
        <w:shd w:val="clear" w:color="auto" w:fill="FFFFFF"/>
        <w:spacing w:line="240" w:lineRule="auto"/>
        <w:jc w:val="both"/>
        <w:textAlignment w:val="baseline"/>
        <w:rPr>
          <w:rFonts w:ascii="Segoe UI" w:eastAsiaTheme="minorHAnsi" w:hAnsi="Segoe UI" w:cs="Segoe UI"/>
          <w:sz w:val="24"/>
          <w:szCs w:val="24"/>
          <w:shd w:val="clear" w:color="auto" w:fill="FFFFFF"/>
          <w:lang w:val="ru-RU" w:eastAsia="en-US"/>
        </w:rPr>
      </w:pPr>
    </w:p>
    <w:sectPr w:rsidR="005613AD" w:rsidRPr="004021A2" w:rsidSect="007A4157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CC0A08" w15:done="0"/>
  <w15:commentEx w15:paraId="5AA9A5C1" w15:done="0"/>
  <w15:commentEx w15:paraId="1BAA4500" w15:done="0"/>
  <w15:commentEx w15:paraId="6E25DD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C0A08" w16cid:durableId="206BFF63"/>
  <w16cid:commentId w16cid:paraId="5AA9A5C1" w16cid:durableId="206BFF78"/>
  <w16cid:commentId w16cid:paraId="1BAA4500" w16cid:durableId="206BFEC3"/>
  <w16cid:commentId w16cid:paraId="6E25DD59" w16cid:durableId="206BFF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3D5"/>
    <w:multiLevelType w:val="hybridMultilevel"/>
    <w:tmpl w:val="F878B8E6"/>
    <w:lvl w:ilvl="0" w:tplc="D4F8D5F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тон Турковский">
    <w15:presenceInfo w15:providerId="Windows Live" w15:userId="6d67737dd2dd1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8"/>
    <w:rsid w:val="00055470"/>
    <w:rsid w:val="00055BC7"/>
    <w:rsid w:val="000A28A2"/>
    <w:rsid w:val="000C491B"/>
    <w:rsid w:val="002C578C"/>
    <w:rsid w:val="004021A2"/>
    <w:rsid w:val="00450767"/>
    <w:rsid w:val="004E5B16"/>
    <w:rsid w:val="005462C9"/>
    <w:rsid w:val="005613AD"/>
    <w:rsid w:val="00637D22"/>
    <w:rsid w:val="006B75D1"/>
    <w:rsid w:val="00716E00"/>
    <w:rsid w:val="00720054"/>
    <w:rsid w:val="0072714F"/>
    <w:rsid w:val="007A4157"/>
    <w:rsid w:val="007D5D5F"/>
    <w:rsid w:val="00853D75"/>
    <w:rsid w:val="00934E8E"/>
    <w:rsid w:val="00964F7E"/>
    <w:rsid w:val="00965AF1"/>
    <w:rsid w:val="009C4F25"/>
    <w:rsid w:val="00A0561F"/>
    <w:rsid w:val="00AA1CEB"/>
    <w:rsid w:val="00AC4B32"/>
    <w:rsid w:val="00B1384B"/>
    <w:rsid w:val="00BB3525"/>
    <w:rsid w:val="00BC4A13"/>
    <w:rsid w:val="00C24B71"/>
    <w:rsid w:val="00C77ED6"/>
    <w:rsid w:val="00C97547"/>
    <w:rsid w:val="00CB0A88"/>
    <w:rsid w:val="00CF43B1"/>
    <w:rsid w:val="00D25C5C"/>
    <w:rsid w:val="00D64C79"/>
    <w:rsid w:val="00DA1468"/>
    <w:rsid w:val="00DC72C0"/>
    <w:rsid w:val="00E43E5D"/>
    <w:rsid w:val="00E905AA"/>
    <w:rsid w:val="00EE15A4"/>
    <w:rsid w:val="00F74FDE"/>
    <w:rsid w:val="00FB0F58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9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157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57"/>
    <w:pPr>
      <w:tabs>
        <w:tab w:val="center" w:pos="4677"/>
        <w:tab w:val="right" w:pos="9355"/>
      </w:tabs>
      <w:spacing w:line="240" w:lineRule="auto"/>
    </w:pPr>
    <w:rPr>
      <w:rFonts w:ascii="Calibri" w:eastAsiaTheme="minorHAns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157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7A4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6">
    <w:name w:val="List Paragraph"/>
    <w:basedOn w:val="a"/>
    <w:uiPriority w:val="34"/>
    <w:qFormat/>
    <w:rsid w:val="007D5D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4F2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16E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E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6E00"/>
    <w:rPr>
      <w:rFonts w:ascii="Arial" w:eastAsia="Arial" w:hAnsi="Arial" w:cs="Arial"/>
      <w:sz w:val="20"/>
      <w:szCs w:val="20"/>
      <w:lang w:val="en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E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E00"/>
    <w:rPr>
      <w:rFonts w:ascii="Arial" w:eastAsia="Arial" w:hAnsi="Arial" w:cs="Arial"/>
      <w:b/>
      <w:bCs/>
      <w:sz w:val="20"/>
      <w:szCs w:val="20"/>
      <w:lang w:val="en"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E00"/>
    <w:rPr>
      <w:rFonts w:ascii="Segoe UI" w:eastAsia="Arial" w:hAnsi="Segoe UI" w:cs="Segoe UI"/>
      <w:sz w:val="18"/>
      <w:szCs w:val="18"/>
      <w:lang w:val="en" w:eastAsia="ru-RU"/>
    </w:rPr>
  </w:style>
  <w:style w:type="character" w:styleId="af">
    <w:name w:val="FollowedHyperlink"/>
    <w:basedOn w:val="a0"/>
    <w:uiPriority w:val="99"/>
    <w:semiHidden/>
    <w:unhideWhenUsed/>
    <w:rsid w:val="00853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157"/>
    <w:pPr>
      <w:spacing w:after="0"/>
    </w:pPr>
    <w:rPr>
      <w:rFonts w:ascii="Arial" w:eastAsia="Arial" w:hAnsi="Arial" w:cs="Arial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57"/>
    <w:pPr>
      <w:tabs>
        <w:tab w:val="center" w:pos="4677"/>
        <w:tab w:val="right" w:pos="9355"/>
      </w:tabs>
      <w:spacing w:line="240" w:lineRule="auto"/>
    </w:pPr>
    <w:rPr>
      <w:rFonts w:ascii="Calibri" w:eastAsiaTheme="minorHAns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4157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7A41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6">
    <w:name w:val="List Paragraph"/>
    <w:basedOn w:val="a"/>
    <w:uiPriority w:val="34"/>
    <w:qFormat/>
    <w:rsid w:val="007D5D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4F2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16E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E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6E00"/>
    <w:rPr>
      <w:rFonts w:ascii="Arial" w:eastAsia="Arial" w:hAnsi="Arial" w:cs="Arial"/>
      <w:sz w:val="20"/>
      <w:szCs w:val="20"/>
      <w:lang w:val="en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E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E00"/>
    <w:rPr>
      <w:rFonts w:ascii="Arial" w:eastAsia="Arial" w:hAnsi="Arial" w:cs="Arial"/>
      <w:b/>
      <w:bCs/>
      <w:sz w:val="20"/>
      <w:szCs w:val="20"/>
      <w:lang w:val="en" w:eastAsia="ru-RU"/>
    </w:rPr>
  </w:style>
  <w:style w:type="paragraph" w:styleId="ad">
    <w:name w:val="Balloon Text"/>
    <w:basedOn w:val="a"/>
    <w:link w:val="ae"/>
    <w:uiPriority w:val="99"/>
    <w:semiHidden/>
    <w:unhideWhenUsed/>
    <w:rsid w:val="00716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E00"/>
    <w:rPr>
      <w:rFonts w:ascii="Segoe UI" w:eastAsia="Arial" w:hAnsi="Segoe UI" w:cs="Segoe UI"/>
      <w:sz w:val="18"/>
      <w:szCs w:val="18"/>
      <w:lang w:val="en" w:eastAsia="ru-RU"/>
    </w:rPr>
  </w:style>
  <w:style w:type="character" w:styleId="af">
    <w:name w:val="FollowedHyperlink"/>
    <w:basedOn w:val="a0"/>
    <w:uiPriority w:val="99"/>
    <w:semiHidden/>
    <w:unhideWhenUsed/>
    <w:rsid w:val="00853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fsberbanka.ru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pr@npfsb.r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НПФ СБЕРБАНКА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Турковская Дарья Виневна</cp:lastModifiedBy>
  <cp:revision>8</cp:revision>
  <dcterms:created xsi:type="dcterms:W3CDTF">2019-04-29T09:41:00Z</dcterms:created>
  <dcterms:modified xsi:type="dcterms:W3CDTF">2019-04-30T06:28:00Z</dcterms:modified>
</cp:coreProperties>
</file>