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94" w:rsidRDefault="00486294" w:rsidP="00486294">
      <w:pPr>
        <w:pStyle w:val="a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B2D05" wp14:editId="7A1AD9DA">
                <wp:simplePos x="0" y="0"/>
                <wp:positionH relativeFrom="column">
                  <wp:posOffset>4048125</wp:posOffset>
                </wp:positionH>
                <wp:positionV relativeFrom="page">
                  <wp:posOffset>667716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94" w:rsidRDefault="00486294" w:rsidP="00486294">
                            <w:pPr>
                              <w:pStyle w:val="a6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486294" w:rsidRPr="009310E0" w:rsidRDefault="00486294" w:rsidP="00486294">
                            <w:pPr>
                              <w:pStyle w:val="a6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.2019</w:t>
                            </w:r>
                          </w:p>
                          <w:p w:rsidR="00486294" w:rsidRPr="00AE08E5" w:rsidRDefault="00486294" w:rsidP="00486294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8.75pt;margin-top:52.6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" o:allowincell="f" filled="f" stroked="f" strokeweight=".5pt">
                <v:path arrowok="t"/>
                <v:textbox inset=",,0">
                  <w:txbxContent>
                    <w:p w:rsidR="00486294" w:rsidRDefault="00486294" w:rsidP="00486294">
                      <w:pPr>
                        <w:pStyle w:val="a6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486294" w:rsidRPr="009310E0" w:rsidRDefault="00486294" w:rsidP="00486294">
                      <w:pPr>
                        <w:pStyle w:val="a6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30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4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.2019</w:t>
                      </w:r>
                    </w:p>
                    <w:p w:rsidR="00486294" w:rsidRPr="00AE08E5" w:rsidRDefault="00486294" w:rsidP="00486294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247382" wp14:editId="5870310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619375" cy="4762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294" w:rsidRPr="00AE08E5" w:rsidRDefault="00486294" w:rsidP="00486294">
      <w:pPr>
        <w:pStyle w:val="a4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70A5AEAD" wp14:editId="1F2B10EB">
                <wp:simplePos x="0" y="0"/>
                <wp:positionH relativeFrom="column">
                  <wp:posOffset>-104140</wp:posOffset>
                </wp:positionH>
                <wp:positionV relativeFrom="page">
                  <wp:posOffset>1583552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pt,124.7pt" to="463.8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" o:allowincell="f" o:allowoverlap="f" strokecolor="#237c29" strokeweight="1pt">
                <w10:wrap anchory="page"/>
              </v:line>
            </w:pict>
          </mc:Fallback>
        </mc:AlternateContent>
      </w:r>
    </w:p>
    <w:p w:rsidR="00486294" w:rsidRPr="00C741E1" w:rsidRDefault="00486294" w:rsidP="00486294">
      <w:pPr>
        <w:jc w:val="both"/>
        <w:rPr>
          <w:rFonts w:ascii="Times New Roman" w:hAnsi="Times New Roman"/>
          <w:sz w:val="24"/>
          <w:szCs w:val="24"/>
        </w:rPr>
      </w:pPr>
    </w:p>
    <w:p w:rsidR="00486294" w:rsidRPr="00C741E1" w:rsidRDefault="00486294" w:rsidP="00486294">
      <w:pPr>
        <w:jc w:val="both"/>
        <w:rPr>
          <w:rFonts w:ascii="Times New Roman" w:hAnsi="Times New Roman"/>
          <w:sz w:val="24"/>
          <w:szCs w:val="24"/>
        </w:rPr>
      </w:pPr>
    </w:p>
    <w:p w:rsidR="00486294" w:rsidRDefault="00827D89" w:rsidP="00486294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en-US"/>
        </w:rPr>
      </w:pPr>
      <w:r w:rsidRPr="00486294">
        <w:rPr>
          <w:rFonts w:ascii="Segoe UI" w:eastAsia="Times New Roman" w:hAnsi="Segoe UI" w:cs="Segoe UI"/>
          <w:b/>
          <w:bCs/>
          <w:color w:val="006600"/>
          <w:sz w:val="36"/>
          <w:szCs w:val="36"/>
        </w:rPr>
        <w:t xml:space="preserve">НПФ Сбербанка подвел финансовые итоги </w:t>
      </w:r>
    </w:p>
    <w:p w:rsidR="00827D89" w:rsidRPr="00486294" w:rsidRDefault="00827D89" w:rsidP="00486294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b/>
          <w:bCs/>
          <w:color w:val="006600"/>
          <w:sz w:val="36"/>
          <w:szCs w:val="36"/>
        </w:rPr>
      </w:pPr>
      <w:r w:rsidRPr="00486294">
        <w:rPr>
          <w:rFonts w:ascii="Segoe UI" w:eastAsia="Times New Roman" w:hAnsi="Segoe UI" w:cs="Segoe UI"/>
          <w:b/>
          <w:bCs/>
          <w:color w:val="006600"/>
          <w:sz w:val="36"/>
          <w:szCs w:val="36"/>
        </w:rPr>
        <w:t>I квартала 2019 года</w:t>
      </w:r>
    </w:p>
    <w:p w:rsidR="00827D89" w:rsidRDefault="00827D89" w:rsidP="00827D89">
      <w:pPr>
        <w:jc w:val="both"/>
        <w:rPr>
          <w:rFonts w:ascii="Arial" w:hAnsi="Arial" w:cs="Arial"/>
        </w:rPr>
      </w:pPr>
    </w:p>
    <w:p w:rsidR="00827D89" w:rsidRDefault="00827D89" w:rsidP="00827D89">
      <w:pPr>
        <w:shd w:val="clear" w:color="auto" w:fill="FFFFFF"/>
        <w:jc w:val="both"/>
        <w:textAlignment w:val="baseline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Активы НПФ Сбербанка по состоянию на 31 марта 2019 года составили 634,2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рублей, следует из бухгалтерской (финансовой) отчётности фонда за первый квартал. Общий объем обязательств по договорам об обязательном пенсионном страховании и по договорам негосударственного пенсионного обеспечения составил 592,7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рублей.</w:t>
      </w:r>
    </w:p>
    <w:p w:rsidR="00827D89" w:rsidRDefault="00827D89" w:rsidP="00827D89">
      <w:pPr>
        <w:shd w:val="clear" w:color="auto" w:fill="FFFFFF"/>
        <w:jc w:val="both"/>
        <w:textAlignment w:val="baseline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27D89" w:rsidRDefault="00827D89" w:rsidP="00827D89">
      <w:pPr>
        <w:shd w:val="clear" w:color="auto" w:fill="FFFFFF"/>
        <w:jc w:val="both"/>
        <w:textAlignment w:val="baseline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течение первого квартала Фонд за счет высвобождения депозитов на 10% увеличил объем вложений в долевые ценные бумаги кредитных организаций и облигации федерального займа. По состоянию на 31 марта 2019 года торговый портфель Фонда составил 337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руб</w:t>
      </w:r>
      <w:r w:rsidR="00486294">
        <w:rPr>
          <w:rFonts w:ascii="Segoe UI" w:hAnsi="Segoe UI" w:cs="Segoe UI"/>
          <w:sz w:val="24"/>
          <w:szCs w:val="24"/>
          <w:shd w:val="clear" w:color="auto" w:fill="FFFFFF"/>
        </w:rPr>
        <w:t>лей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или 53% от общего объема активов в управлении.</w:t>
      </w:r>
    </w:p>
    <w:p w:rsidR="00827D89" w:rsidRDefault="00827D89" w:rsidP="00827D89">
      <w:pPr>
        <w:shd w:val="clear" w:color="auto" w:fill="FFFFFF"/>
        <w:jc w:val="both"/>
        <w:textAlignment w:val="baseline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827D89" w:rsidRDefault="00827D89" w:rsidP="00827D89">
      <w:pPr>
        <w:shd w:val="clear" w:color="auto" w:fill="FFFFFF"/>
        <w:jc w:val="both"/>
        <w:textAlignment w:val="baseline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Улучшение конъюнктуры финансовых рынков способствовало положительной переоценке акций и долгосрочных облигаций, в результате чего прибыль Фонда после налогообложения по итогам первого квартала составила 15,9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млрд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рублей, что на 14% больше, чем за аналогичный период прошлого года (14,0 млрд руб</w:t>
      </w:r>
      <w:r w:rsidR="00486294">
        <w:rPr>
          <w:rFonts w:ascii="Segoe UI" w:hAnsi="Segoe UI" w:cs="Segoe UI"/>
          <w:sz w:val="24"/>
          <w:szCs w:val="24"/>
          <w:shd w:val="clear" w:color="auto" w:fill="FFFFFF"/>
        </w:rPr>
        <w:t>лей</w:t>
      </w:r>
      <w:bookmarkStart w:id="0" w:name="_GoBack"/>
      <w:bookmarkEnd w:id="0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</w:p>
    <w:p w:rsidR="00827D89" w:rsidRDefault="00827D89" w:rsidP="00827D89">
      <w:pPr>
        <w:shd w:val="clear" w:color="auto" w:fill="FFFFFF"/>
        <w:jc w:val="both"/>
        <w:textAlignment w:val="baseline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DF1D6F" w:rsidRDefault="00827D89" w:rsidP="00827D89">
      <w:r>
        <w:rPr>
          <w:rFonts w:ascii="Segoe UI" w:hAnsi="Segoe UI" w:cs="Segoe UI"/>
          <w:sz w:val="24"/>
          <w:szCs w:val="24"/>
          <w:shd w:val="clear" w:color="auto" w:fill="FFFFFF"/>
        </w:rPr>
        <w:t>С отчетностью можно ознакомиться на сайте Фонда в разделе </w:t>
      </w:r>
      <w:hyperlink r:id="rId6" w:tgtFrame="_blank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«Раскрытие информации»</w:t>
        </w:r>
      </w:hyperlink>
    </w:p>
    <w:sectPr w:rsidR="00DF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F"/>
    <w:rsid w:val="002179CF"/>
    <w:rsid w:val="00486294"/>
    <w:rsid w:val="00827D89"/>
    <w:rsid w:val="00D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6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294"/>
    <w:rPr>
      <w:rFonts w:ascii="Calibri" w:hAnsi="Calibri" w:cs="Times New Roman"/>
    </w:rPr>
  </w:style>
  <w:style w:type="paragraph" w:customStyle="1" w:styleId="a6">
    <w:name w:val="[Основной абзац]"/>
    <w:basedOn w:val="a"/>
    <w:uiPriority w:val="99"/>
    <w:rsid w:val="0048629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6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294"/>
    <w:rPr>
      <w:rFonts w:ascii="Calibri" w:hAnsi="Calibri" w:cs="Times New Roman"/>
    </w:rPr>
  </w:style>
  <w:style w:type="paragraph" w:customStyle="1" w:styleId="a6">
    <w:name w:val="[Основной абзац]"/>
    <w:basedOn w:val="a"/>
    <w:uiPriority w:val="99"/>
    <w:rsid w:val="0048629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fsberbanka.ru/about/information-to-be-disclosed/repor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НПФ СБЕРБАНКА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Турковская Дарья Виневна</dc:creator>
  <cp:keywords/>
  <dc:description/>
  <cp:lastModifiedBy>Чудакова Анна Юрьевна</cp:lastModifiedBy>
  <cp:revision>3</cp:revision>
  <dcterms:created xsi:type="dcterms:W3CDTF">2019-04-30T10:38:00Z</dcterms:created>
  <dcterms:modified xsi:type="dcterms:W3CDTF">2019-04-30T11:59:00Z</dcterms:modified>
</cp:coreProperties>
</file>